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6BD9" w14:textId="58D03540" w:rsidR="009D443E" w:rsidRPr="00D904B6" w:rsidRDefault="009D443E" w:rsidP="00D904B6">
      <w:pPr>
        <w:pStyle w:val="Title"/>
        <w:spacing w:after="0" w:line="240" w:lineRule="auto"/>
        <w:jc w:val="center"/>
        <w:rPr>
          <w:rFonts w:ascii="Lato Light" w:hAnsi="Lato Light" w:cs="Calibri"/>
          <w:b/>
          <w:bCs/>
          <w:sz w:val="22"/>
          <w:szCs w:val="22"/>
        </w:rPr>
      </w:pPr>
      <w:r>
        <w:rPr>
          <w:rFonts w:ascii="Lato Light" w:hAnsi="Lato Light" w:cs="Calibri"/>
          <w:b/>
          <w:bCs/>
          <w:sz w:val="22"/>
          <w:szCs w:val="22"/>
        </w:rPr>
        <w:t>ACA REPORTING OVERVIEW</w:t>
      </w:r>
      <w:r w:rsidR="00D904B6">
        <w:rPr>
          <w:rFonts w:ascii="Lato Light" w:hAnsi="Lato Light" w:cs="Calibri"/>
          <w:b/>
          <w:bCs/>
          <w:sz w:val="22"/>
          <w:szCs w:val="22"/>
        </w:rPr>
        <w:t xml:space="preserve"> </w:t>
      </w:r>
      <w:r w:rsidRPr="00D904B6">
        <w:rPr>
          <w:sz w:val="22"/>
          <w:szCs w:val="22"/>
        </w:rPr>
        <w:t>1094-B/1095-B FORMS</w:t>
      </w:r>
    </w:p>
    <w:p w14:paraId="2B7E2450" w14:textId="77777777" w:rsidR="001F423C" w:rsidRPr="00315692" w:rsidRDefault="001F423C" w:rsidP="00621331">
      <w:pPr>
        <w:pStyle w:val="Title"/>
        <w:spacing w:after="0" w:line="240" w:lineRule="auto"/>
        <w:rPr>
          <w:rFonts w:ascii="Lato Light" w:hAnsi="Lato Light" w:cs="Calibri"/>
          <w:b/>
          <w:bCs/>
          <w:sz w:val="22"/>
          <w:szCs w:val="22"/>
        </w:rPr>
      </w:pPr>
    </w:p>
    <w:p w14:paraId="781B4519" w14:textId="6912107A" w:rsidR="00D333E4" w:rsidRDefault="00983EDC" w:rsidP="00C9480E">
      <w:pPr>
        <w:spacing w:line="240" w:lineRule="auto"/>
        <w:rPr>
          <w:rFonts w:ascii="Lato Light" w:hAnsi="Lato Light" w:cstheme="majorHAnsi"/>
        </w:rPr>
      </w:pPr>
      <w:r w:rsidRPr="00C9480E">
        <w:rPr>
          <w:rFonts w:ascii="Lato Light" w:hAnsi="Lato Light" w:cstheme="majorHAnsi"/>
          <w:b/>
          <w:bCs/>
        </w:rPr>
        <w:t>Overview</w:t>
      </w:r>
      <w:r>
        <w:rPr>
          <w:rFonts w:ascii="Lato Light" w:hAnsi="Lato Light" w:cstheme="majorHAnsi"/>
        </w:rPr>
        <w:t>:</w:t>
      </w:r>
      <w:r w:rsidR="00D97F35">
        <w:rPr>
          <w:rFonts w:ascii="Lato Light" w:hAnsi="Lato Light" w:cstheme="majorHAnsi"/>
        </w:rPr>
        <w:t xml:space="preserve">  </w:t>
      </w:r>
      <w:r w:rsidR="00D333E4">
        <w:rPr>
          <w:rFonts w:ascii="Lato Light" w:hAnsi="Lato Light" w:cstheme="majorHAnsi"/>
        </w:rPr>
        <w:t>The Affordable Care Act (</w:t>
      </w:r>
      <w:r w:rsidR="009D443E">
        <w:rPr>
          <w:rFonts w:ascii="Lato Light" w:hAnsi="Lato Light" w:cstheme="majorHAnsi"/>
        </w:rPr>
        <w:t>ACA</w:t>
      </w:r>
      <w:r w:rsidR="00D333E4">
        <w:rPr>
          <w:rFonts w:ascii="Lato Light" w:hAnsi="Lato Light" w:cstheme="majorHAnsi"/>
        </w:rPr>
        <w:t>)</w:t>
      </w:r>
      <w:r w:rsidR="009D443E">
        <w:rPr>
          <w:rFonts w:ascii="Lato Light" w:hAnsi="Lato Light" w:cstheme="majorHAnsi"/>
        </w:rPr>
        <w:t xml:space="preserve"> </w:t>
      </w:r>
      <w:r w:rsidR="00D333E4">
        <w:rPr>
          <w:rFonts w:ascii="Lato Light" w:hAnsi="Lato Light" w:cstheme="majorHAnsi"/>
        </w:rPr>
        <w:t xml:space="preserve">requires </w:t>
      </w:r>
      <w:r w:rsidR="009D443E">
        <w:rPr>
          <w:rFonts w:ascii="Lato Light" w:hAnsi="Lato Light" w:cstheme="majorHAnsi"/>
        </w:rPr>
        <w:t>insurance compan</w:t>
      </w:r>
      <w:r w:rsidR="00D333E4">
        <w:rPr>
          <w:rFonts w:ascii="Lato Light" w:hAnsi="Lato Light" w:cstheme="majorHAnsi"/>
        </w:rPr>
        <w:t>ies</w:t>
      </w:r>
      <w:r w:rsidR="009D443E">
        <w:rPr>
          <w:rFonts w:ascii="Lato Light" w:hAnsi="Lato Light" w:cstheme="majorHAnsi"/>
        </w:rPr>
        <w:t xml:space="preserve"> </w:t>
      </w:r>
      <w:r w:rsidR="00D333E4">
        <w:rPr>
          <w:rFonts w:ascii="Lato Light" w:hAnsi="Lato Light" w:cstheme="majorHAnsi"/>
        </w:rPr>
        <w:t xml:space="preserve">to annually report all months </w:t>
      </w:r>
      <w:r w:rsidR="00463CC7">
        <w:rPr>
          <w:rFonts w:ascii="Lato Light" w:hAnsi="Lato Light" w:cstheme="majorHAnsi"/>
        </w:rPr>
        <w:t xml:space="preserve">for which </w:t>
      </w:r>
      <w:r w:rsidR="00D333E4">
        <w:rPr>
          <w:rFonts w:ascii="Lato Light" w:hAnsi="Lato Light" w:cstheme="majorHAnsi"/>
        </w:rPr>
        <w:t>employees and family members were enrolled</w:t>
      </w:r>
      <w:r w:rsidR="009D443E">
        <w:rPr>
          <w:rFonts w:ascii="Lato Light" w:hAnsi="Lato Light" w:cstheme="majorHAnsi"/>
        </w:rPr>
        <w:t xml:space="preserve"> </w:t>
      </w:r>
      <w:r w:rsidR="00D333E4">
        <w:rPr>
          <w:rFonts w:ascii="Lato Light" w:hAnsi="Lato Light" w:cstheme="majorHAnsi"/>
        </w:rPr>
        <w:t>in a</w:t>
      </w:r>
      <w:r w:rsidR="009D443E">
        <w:rPr>
          <w:rFonts w:ascii="Lato Light" w:hAnsi="Lato Light" w:cstheme="majorHAnsi"/>
        </w:rPr>
        <w:t xml:space="preserve"> fully insured</w:t>
      </w:r>
      <w:r w:rsidR="00D333E4">
        <w:rPr>
          <w:rFonts w:ascii="Lato Light" w:hAnsi="Lato Light" w:cstheme="majorHAnsi"/>
        </w:rPr>
        <w:t xml:space="preserve"> group medical/Rx plan using 1094-B and 1095-B forms.</w:t>
      </w:r>
    </w:p>
    <w:p w14:paraId="5523C63C" w14:textId="77777777" w:rsidR="00D333E4" w:rsidRDefault="00D333E4" w:rsidP="00C9480E">
      <w:pPr>
        <w:spacing w:line="240" w:lineRule="auto"/>
        <w:rPr>
          <w:rFonts w:ascii="Lato Light" w:hAnsi="Lato Light" w:cstheme="majorHAnsi"/>
        </w:rPr>
      </w:pPr>
    </w:p>
    <w:p w14:paraId="6CA5289B" w14:textId="30C895CE" w:rsidR="00C9480E" w:rsidRPr="00C9480E" w:rsidRDefault="00D333E4" w:rsidP="00C9480E">
      <w:pPr>
        <w:spacing w:line="240" w:lineRule="auto"/>
        <w:rPr>
          <w:rFonts w:ascii="Lato Light" w:hAnsi="Lato Light" w:cstheme="majorHAnsi"/>
        </w:rPr>
      </w:pPr>
      <w:r>
        <w:rPr>
          <w:rFonts w:ascii="Lato Light" w:hAnsi="Lato Light" w:cstheme="majorHAnsi"/>
        </w:rPr>
        <w:t xml:space="preserve">If there are months of the calendar year the group medical/Rx plan was </w:t>
      </w:r>
      <w:r w:rsidRPr="00926B1E">
        <w:rPr>
          <w:rFonts w:ascii="Lato Light" w:hAnsi="Lato Light" w:cstheme="majorHAnsi"/>
          <w:i/>
          <w:iCs/>
          <w:u w:val="single"/>
        </w:rPr>
        <w:t>not</w:t>
      </w:r>
      <w:r>
        <w:rPr>
          <w:rFonts w:ascii="Lato Light" w:hAnsi="Lato Light" w:cstheme="majorHAnsi"/>
        </w:rPr>
        <w:t xml:space="preserve"> fully insured, then the employer must report the months employees and family members were enrolled.  An “applicable large employer” (ALE) under the ACA, including an ALE member in a controlled group of companies, must use 1094-C/1095-C forms.  Non-ALEs use the much simpler 1094-B/1095-B forms.</w:t>
      </w:r>
    </w:p>
    <w:p w14:paraId="632FBF1C" w14:textId="77777777" w:rsidR="00315692" w:rsidRDefault="00315692" w:rsidP="00621331">
      <w:pPr>
        <w:spacing w:line="240" w:lineRule="auto"/>
        <w:rPr>
          <w:rFonts w:ascii="Lato Light" w:hAnsi="Lato Light" w:cstheme="majorHAnsi"/>
          <w:b/>
          <w:bCs/>
        </w:rPr>
      </w:pPr>
    </w:p>
    <w:p w14:paraId="632F8386" w14:textId="67FC2A55" w:rsidR="00CD2B20" w:rsidRPr="00CD2B20" w:rsidRDefault="001F423C" w:rsidP="00D904B6">
      <w:pPr>
        <w:spacing w:line="240" w:lineRule="auto"/>
        <w:rPr>
          <w:rFonts w:ascii="Lato Light" w:hAnsi="Lato Light" w:cstheme="majorHAnsi"/>
        </w:rPr>
      </w:pPr>
      <w:r w:rsidRPr="00315692">
        <w:rPr>
          <w:rFonts w:ascii="Lato Light" w:hAnsi="Lato Light" w:cstheme="majorHAnsi"/>
          <w:b/>
          <w:bCs/>
        </w:rPr>
        <w:t xml:space="preserve">Applies </w:t>
      </w:r>
      <w:r w:rsidR="00D904B6">
        <w:rPr>
          <w:rFonts w:ascii="Lato Light" w:hAnsi="Lato Light" w:cstheme="majorHAnsi"/>
          <w:b/>
          <w:bCs/>
        </w:rPr>
        <w:t>T</w:t>
      </w:r>
      <w:r w:rsidRPr="00315692">
        <w:rPr>
          <w:rFonts w:ascii="Lato Light" w:hAnsi="Lato Light" w:cstheme="majorHAnsi"/>
          <w:b/>
          <w:bCs/>
        </w:rPr>
        <w:t>o:</w:t>
      </w:r>
      <w:r w:rsidR="00680EC9">
        <w:rPr>
          <w:rFonts w:ascii="Lato Light" w:hAnsi="Lato Light" w:cstheme="majorHAnsi"/>
          <w:b/>
          <w:bCs/>
        </w:rPr>
        <w:t xml:space="preserve">  </w:t>
      </w:r>
      <w:r w:rsidR="00CD2B20" w:rsidRPr="00CD2B20">
        <w:rPr>
          <w:rFonts w:ascii="Lato Light" w:hAnsi="Lato Light" w:cstheme="majorHAnsi"/>
        </w:rPr>
        <w:t xml:space="preserve">Small employers </w:t>
      </w:r>
      <w:r w:rsidR="00D333E4">
        <w:rPr>
          <w:rFonts w:ascii="Lato Light" w:hAnsi="Lato Light" w:cstheme="majorHAnsi"/>
        </w:rPr>
        <w:t>(non-ALEs</w:t>
      </w:r>
      <w:r w:rsidR="00463CC7">
        <w:rPr>
          <w:rFonts w:ascii="Lato Light" w:hAnsi="Lato Light" w:cstheme="majorHAnsi"/>
        </w:rPr>
        <w:t xml:space="preserve"> </w:t>
      </w:r>
      <w:r w:rsidR="00D904B6">
        <w:rPr>
          <w:rFonts w:ascii="Lato Light" w:hAnsi="Lato Light" w:cstheme="majorHAnsi"/>
        </w:rPr>
        <w:t xml:space="preserve">i.e., </w:t>
      </w:r>
      <w:r w:rsidR="00463CC7">
        <w:rPr>
          <w:rFonts w:ascii="Lato Light" w:hAnsi="Lato Light" w:cstheme="majorHAnsi"/>
        </w:rPr>
        <w:t>employers with less than 50 full</w:t>
      </w:r>
      <w:r w:rsidR="00D904B6">
        <w:rPr>
          <w:rFonts w:ascii="Lato Light" w:hAnsi="Lato Light" w:cstheme="majorHAnsi"/>
        </w:rPr>
        <w:t>-</w:t>
      </w:r>
      <w:r w:rsidR="00463CC7">
        <w:rPr>
          <w:rFonts w:ascii="Lato Light" w:hAnsi="Lato Light" w:cstheme="majorHAnsi"/>
        </w:rPr>
        <w:t xml:space="preserve">time employees and </w:t>
      </w:r>
      <w:r w:rsidR="00D904B6">
        <w:rPr>
          <w:rFonts w:ascii="Lato Light" w:hAnsi="Lato Light" w:cstheme="majorHAnsi"/>
        </w:rPr>
        <w:t>full-time</w:t>
      </w:r>
      <w:r w:rsidR="00463CC7">
        <w:rPr>
          <w:rFonts w:ascii="Lato Light" w:hAnsi="Lato Light" w:cstheme="majorHAnsi"/>
        </w:rPr>
        <w:t xml:space="preserve"> equivalents</w:t>
      </w:r>
      <w:r w:rsidR="00D333E4">
        <w:rPr>
          <w:rFonts w:ascii="Lato Light" w:hAnsi="Lato Light" w:cstheme="majorHAnsi"/>
        </w:rPr>
        <w:t xml:space="preserve">) </w:t>
      </w:r>
      <w:r w:rsidR="00CD2B20" w:rsidRPr="00CD2B20">
        <w:rPr>
          <w:rFonts w:ascii="Lato Light" w:hAnsi="Lato Light" w:cstheme="majorHAnsi"/>
        </w:rPr>
        <w:t>with</w:t>
      </w:r>
      <w:r w:rsidR="00463CC7">
        <w:rPr>
          <w:rFonts w:ascii="Lato Light" w:hAnsi="Lato Light" w:cstheme="majorHAnsi"/>
        </w:rPr>
        <w:t xml:space="preserve"> self-funded or</w:t>
      </w:r>
      <w:r w:rsidR="00CD2B20" w:rsidRPr="00CD2B20">
        <w:rPr>
          <w:rFonts w:ascii="Lato Light" w:hAnsi="Lato Light" w:cstheme="majorHAnsi"/>
        </w:rPr>
        <w:t xml:space="preserve"> level-funded health plans</w:t>
      </w:r>
      <w:r w:rsidR="00D333E4">
        <w:rPr>
          <w:rFonts w:ascii="Lato Light" w:hAnsi="Lato Light" w:cstheme="majorHAnsi"/>
        </w:rPr>
        <w:t xml:space="preserve"> or ICHRAs</w:t>
      </w:r>
    </w:p>
    <w:p w14:paraId="14561E34" w14:textId="77777777" w:rsidR="001F423C" w:rsidRPr="00315692" w:rsidRDefault="001F423C" w:rsidP="00621331">
      <w:pPr>
        <w:spacing w:line="240" w:lineRule="auto"/>
        <w:rPr>
          <w:rFonts w:ascii="Lato Light" w:hAnsi="Lato Light" w:cstheme="majorHAnsi"/>
          <w:b/>
          <w:bCs/>
        </w:rPr>
      </w:pPr>
    </w:p>
    <w:p w14:paraId="0000000F" w14:textId="33E7FFED" w:rsidR="0001489F" w:rsidRPr="00315692" w:rsidRDefault="001F423C" w:rsidP="00621331">
      <w:pPr>
        <w:spacing w:line="240" w:lineRule="auto"/>
        <w:rPr>
          <w:rFonts w:ascii="Lato Light" w:hAnsi="Lato Light" w:cstheme="majorHAnsi"/>
          <w:b/>
          <w:bCs/>
        </w:rPr>
      </w:pPr>
      <w:r w:rsidRPr="00315692">
        <w:rPr>
          <w:rFonts w:ascii="Lato Light" w:hAnsi="Lato Light" w:cstheme="majorHAnsi"/>
          <w:b/>
          <w:bCs/>
        </w:rPr>
        <w:t>Go Deeper</w:t>
      </w:r>
      <w:r w:rsidR="005B04D9" w:rsidRPr="00315692">
        <w:rPr>
          <w:rFonts w:ascii="Lato Light" w:hAnsi="Lato Light" w:cstheme="majorHAnsi"/>
          <w:b/>
          <w:bCs/>
        </w:rPr>
        <w:t xml:space="preserve">: </w:t>
      </w:r>
    </w:p>
    <w:p w14:paraId="554EE934" w14:textId="77777777" w:rsidR="0006201D" w:rsidRDefault="0006201D" w:rsidP="00621331">
      <w:pPr>
        <w:spacing w:line="240" w:lineRule="auto"/>
        <w:rPr>
          <w:rFonts w:ascii="Lato Light" w:hAnsi="Lato Light" w:cstheme="majorHAnsi"/>
        </w:rPr>
      </w:pPr>
    </w:p>
    <w:p w14:paraId="50ED0DAE" w14:textId="69741173" w:rsidR="00AD3EA2" w:rsidRDefault="00D333E4" w:rsidP="00AD3EA2">
      <w:pPr>
        <w:spacing w:line="240" w:lineRule="auto"/>
        <w:rPr>
          <w:rFonts w:ascii="Lato Light" w:hAnsi="Lato Light" w:cstheme="majorHAnsi"/>
        </w:rPr>
      </w:pPr>
      <w:r>
        <w:rPr>
          <w:rFonts w:ascii="Lato Light" w:hAnsi="Lato Light" w:cstheme="majorHAnsi"/>
        </w:rPr>
        <w:t>The 1094-B/1095-B forms operate much like W-3/W-2 forms</w:t>
      </w:r>
      <w:r w:rsidR="00D904B6">
        <w:rPr>
          <w:rFonts w:ascii="Lato Light" w:hAnsi="Lato Light" w:cstheme="majorHAnsi"/>
        </w:rPr>
        <w:t>:</w:t>
      </w:r>
    </w:p>
    <w:p w14:paraId="506782FB" w14:textId="77777777" w:rsidR="00D3154B" w:rsidRDefault="00D3154B" w:rsidP="00D333E4">
      <w:pPr>
        <w:pStyle w:val="ListParagraph"/>
        <w:numPr>
          <w:ilvl w:val="0"/>
          <w:numId w:val="21"/>
        </w:numPr>
        <w:spacing w:line="240" w:lineRule="auto"/>
        <w:rPr>
          <w:rFonts w:ascii="Lato Light" w:hAnsi="Lato Light" w:cstheme="majorHAnsi"/>
        </w:rPr>
      </w:pPr>
      <w:r>
        <w:rPr>
          <w:rFonts w:ascii="Lato Light" w:hAnsi="Lato Light" w:cstheme="majorHAnsi"/>
        </w:rPr>
        <w:t>In the W-3/W-2 context:</w:t>
      </w:r>
    </w:p>
    <w:p w14:paraId="77801D20" w14:textId="351F98C7" w:rsidR="00D3154B" w:rsidRDefault="00D333E4" w:rsidP="00D3154B">
      <w:pPr>
        <w:pStyle w:val="ListParagraph"/>
        <w:numPr>
          <w:ilvl w:val="1"/>
          <w:numId w:val="21"/>
        </w:numPr>
        <w:spacing w:line="240" w:lineRule="auto"/>
        <w:rPr>
          <w:rFonts w:ascii="Lato Light" w:hAnsi="Lato Light" w:cstheme="majorHAnsi"/>
        </w:rPr>
      </w:pPr>
      <w:r>
        <w:rPr>
          <w:rFonts w:ascii="Lato Light" w:hAnsi="Lato Light" w:cstheme="majorHAnsi"/>
        </w:rPr>
        <w:t>The W-2 is an individual statement given to the employee.</w:t>
      </w:r>
    </w:p>
    <w:p w14:paraId="31B704AE" w14:textId="51990C77" w:rsidR="00D333E4" w:rsidRDefault="00D333E4" w:rsidP="00D3154B">
      <w:pPr>
        <w:pStyle w:val="ListParagraph"/>
        <w:numPr>
          <w:ilvl w:val="1"/>
          <w:numId w:val="21"/>
        </w:numPr>
        <w:spacing w:line="240" w:lineRule="auto"/>
        <w:rPr>
          <w:rFonts w:ascii="Lato Light" w:hAnsi="Lato Light" w:cstheme="majorHAnsi"/>
        </w:rPr>
      </w:pPr>
      <w:r>
        <w:rPr>
          <w:rFonts w:ascii="Lato Light" w:hAnsi="Lato Light" w:cstheme="majorHAnsi"/>
        </w:rPr>
        <w:t>Then all W-2 forms are e-filed to the IRS with a W-3 transmittal cover sheet.</w:t>
      </w:r>
    </w:p>
    <w:p w14:paraId="0426A689" w14:textId="78170993" w:rsidR="00D3154B" w:rsidRDefault="00D3154B" w:rsidP="00D333E4">
      <w:pPr>
        <w:pStyle w:val="ListParagraph"/>
        <w:numPr>
          <w:ilvl w:val="0"/>
          <w:numId w:val="21"/>
        </w:numPr>
        <w:spacing w:line="240" w:lineRule="auto"/>
        <w:rPr>
          <w:rFonts w:ascii="Lato Light" w:hAnsi="Lato Light" w:cstheme="majorHAnsi"/>
        </w:rPr>
      </w:pPr>
      <w:r>
        <w:rPr>
          <w:rFonts w:ascii="Lato Light" w:hAnsi="Lato Light" w:cstheme="majorHAnsi"/>
        </w:rPr>
        <w:t>In the 1094-B/1095-B context:</w:t>
      </w:r>
    </w:p>
    <w:p w14:paraId="3E10669F" w14:textId="1834D9F2" w:rsidR="00D3154B" w:rsidRDefault="00D333E4" w:rsidP="00D3154B">
      <w:pPr>
        <w:pStyle w:val="ListParagraph"/>
        <w:numPr>
          <w:ilvl w:val="1"/>
          <w:numId w:val="21"/>
        </w:numPr>
        <w:spacing w:line="240" w:lineRule="auto"/>
        <w:rPr>
          <w:rFonts w:ascii="Lato Light" w:hAnsi="Lato Light" w:cstheme="majorHAnsi"/>
        </w:rPr>
      </w:pPr>
      <w:r>
        <w:rPr>
          <w:rFonts w:ascii="Lato Light" w:hAnsi="Lato Light" w:cstheme="majorHAnsi"/>
        </w:rPr>
        <w:t>The 1095-B is an individual statement given to the employee.</w:t>
      </w:r>
    </w:p>
    <w:p w14:paraId="3C32ABEE" w14:textId="71615540" w:rsidR="00D333E4" w:rsidRDefault="00D333E4" w:rsidP="00D3154B">
      <w:pPr>
        <w:pStyle w:val="ListParagraph"/>
        <w:numPr>
          <w:ilvl w:val="1"/>
          <w:numId w:val="21"/>
        </w:numPr>
        <w:spacing w:line="240" w:lineRule="auto"/>
        <w:rPr>
          <w:rFonts w:ascii="Lato Light" w:hAnsi="Lato Light" w:cstheme="majorHAnsi"/>
        </w:rPr>
      </w:pPr>
      <w:r>
        <w:rPr>
          <w:rFonts w:ascii="Lato Light" w:hAnsi="Lato Light" w:cstheme="majorHAnsi"/>
        </w:rPr>
        <w:t>Then all 1095-B forms are e-filed to the IRS with a 1094-B transmittal cover sheet.</w:t>
      </w:r>
    </w:p>
    <w:p w14:paraId="5E7CCD13" w14:textId="77777777" w:rsidR="00D333E4" w:rsidRDefault="00D333E4" w:rsidP="00D333E4">
      <w:pPr>
        <w:spacing w:line="240" w:lineRule="auto"/>
        <w:rPr>
          <w:rFonts w:ascii="Lato Light" w:hAnsi="Lato Light" w:cstheme="majorHAnsi"/>
        </w:rPr>
      </w:pPr>
    </w:p>
    <w:p w14:paraId="6245AB4F" w14:textId="12C8953F" w:rsidR="00D84FAB" w:rsidRDefault="00926B1E" w:rsidP="00D333E4">
      <w:pPr>
        <w:spacing w:line="240" w:lineRule="auto"/>
        <w:rPr>
          <w:rFonts w:ascii="Lato Light" w:hAnsi="Lato Light" w:cstheme="majorHAnsi"/>
        </w:rPr>
      </w:pPr>
      <w:r>
        <w:rPr>
          <w:rFonts w:ascii="Lato Light" w:hAnsi="Lato Light" w:cstheme="majorHAnsi"/>
          <w:b/>
          <w:bCs/>
        </w:rPr>
        <w:t xml:space="preserve">IRS </w:t>
      </w:r>
      <w:r w:rsidR="00D84FAB" w:rsidRPr="00D84FAB">
        <w:rPr>
          <w:rFonts w:ascii="Lato Light" w:hAnsi="Lato Light" w:cstheme="majorHAnsi"/>
          <w:b/>
          <w:bCs/>
        </w:rPr>
        <w:t>Instructions</w:t>
      </w:r>
      <w:r>
        <w:rPr>
          <w:rFonts w:ascii="Lato Light" w:hAnsi="Lato Light" w:cstheme="majorHAnsi"/>
          <w:b/>
          <w:bCs/>
        </w:rPr>
        <w:t xml:space="preserve"> for Completing the Forms</w:t>
      </w:r>
      <w:r w:rsidR="00D84FAB" w:rsidRPr="00D84FAB">
        <w:rPr>
          <w:rFonts w:ascii="Lato Light" w:hAnsi="Lato Light" w:cstheme="majorHAnsi"/>
          <w:b/>
          <w:bCs/>
        </w:rPr>
        <w:t>:</w:t>
      </w:r>
      <w:r w:rsidR="00D84FAB">
        <w:rPr>
          <w:rFonts w:ascii="Lato Light" w:hAnsi="Lato Light" w:cstheme="majorHAnsi"/>
        </w:rPr>
        <w:t xml:space="preserve"> </w:t>
      </w:r>
      <w:hyperlink r:id="rId7" w:history="1">
        <w:r w:rsidR="00D84FAB" w:rsidRPr="004A2B48">
          <w:rPr>
            <w:rStyle w:val="Hyperlink"/>
            <w:rFonts w:ascii="Lato Light" w:hAnsi="Lato Light" w:cstheme="majorHAnsi"/>
          </w:rPr>
          <w:t>https://www.irs.gov/instructions/i109495b</w:t>
        </w:r>
      </w:hyperlink>
    </w:p>
    <w:p w14:paraId="7B4B8C16" w14:textId="77777777" w:rsidR="00D84FAB" w:rsidRDefault="00D84FAB" w:rsidP="00D333E4">
      <w:pPr>
        <w:spacing w:line="240" w:lineRule="auto"/>
        <w:rPr>
          <w:rFonts w:ascii="Lato Light" w:hAnsi="Lato Light" w:cstheme="majorHAnsi"/>
        </w:rPr>
      </w:pPr>
    </w:p>
    <w:p w14:paraId="565EB6AB" w14:textId="33CDF5AA" w:rsidR="00D84FAB" w:rsidRPr="003D1808" w:rsidRDefault="00D333E4" w:rsidP="00AD3EA2">
      <w:pPr>
        <w:spacing w:line="240" w:lineRule="auto"/>
        <w:rPr>
          <w:rFonts w:ascii="Lato Light" w:hAnsi="Lato Light" w:cstheme="majorHAnsi"/>
          <w:b/>
          <w:bCs/>
        </w:rPr>
      </w:pPr>
      <w:bookmarkStart w:id="0" w:name="_Hlk184281545"/>
      <w:r w:rsidRPr="00D84FAB">
        <w:rPr>
          <w:rFonts w:ascii="Lato Light" w:hAnsi="Lato Light" w:cstheme="majorHAnsi"/>
          <w:b/>
          <w:bCs/>
        </w:rPr>
        <w:t xml:space="preserve">The </w:t>
      </w:r>
      <w:r w:rsidR="00926B1E">
        <w:rPr>
          <w:rFonts w:ascii="Lato Light" w:hAnsi="Lato Light" w:cstheme="majorHAnsi"/>
          <w:b/>
          <w:bCs/>
        </w:rPr>
        <w:t xml:space="preserve">Form </w:t>
      </w:r>
      <w:r w:rsidRPr="00D84FAB">
        <w:rPr>
          <w:rFonts w:ascii="Lato Light" w:hAnsi="Lato Light" w:cstheme="majorHAnsi"/>
          <w:b/>
          <w:bCs/>
        </w:rPr>
        <w:t xml:space="preserve">1095-B </w:t>
      </w:r>
      <w:bookmarkEnd w:id="0"/>
      <w:r w:rsidR="00D3154B">
        <w:rPr>
          <w:rFonts w:ascii="Lato Light" w:hAnsi="Lato Light" w:cstheme="majorHAnsi"/>
          <w:b/>
          <w:bCs/>
        </w:rPr>
        <w:t>Individual Statement</w:t>
      </w:r>
      <w:r w:rsidR="00D84FAB">
        <w:rPr>
          <w:rFonts w:ascii="Lato Light" w:hAnsi="Lato Light" w:cstheme="majorHAnsi"/>
          <w:b/>
          <w:bCs/>
        </w:rPr>
        <w:t xml:space="preserve">: </w:t>
      </w:r>
      <w:hyperlink r:id="rId8" w:history="1">
        <w:r w:rsidR="00D84FAB" w:rsidRPr="00D84FAB">
          <w:rPr>
            <w:rStyle w:val="Hyperlink"/>
            <w:rFonts w:ascii="Lato Light" w:hAnsi="Lato Light" w:cstheme="majorHAnsi"/>
          </w:rPr>
          <w:t>https://www.irs.gov/pub/irs-pdf/f1095b.pdf</w:t>
        </w:r>
      </w:hyperlink>
    </w:p>
    <w:p w14:paraId="53E9948F" w14:textId="77777777" w:rsidR="003D1808" w:rsidRDefault="003D1808" w:rsidP="00AD3EA2">
      <w:pPr>
        <w:spacing w:line="240" w:lineRule="auto"/>
        <w:rPr>
          <w:rFonts w:ascii="Lato Light" w:hAnsi="Lato Light" w:cstheme="majorHAnsi"/>
        </w:rPr>
      </w:pPr>
    </w:p>
    <w:p w14:paraId="2F4BC24A" w14:textId="06B06653" w:rsidR="0026522A" w:rsidRDefault="00D333E4" w:rsidP="0026522A">
      <w:pPr>
        <w:spacing w:line="240" w:lineRule="auto"/>
        <w:rPr>
          <w:rFonts w:ascii="Lato Light" w:hAnsi="Lato Light" w:cstheme="majorHAnsi"/>
          <w:lang w:val="en-US"/>
        </w:rPr>
      </w:pPr>
      <w:r>
        <w:rPr>
          <w:rFonts w:ascii="Lato Light" w:hAnsi="Lato Light" w:cstheme="majorHAnsi"/>
          <w:lang w:val="en-US"/>
        </w:rPr>
        <w:t>A non-ALE only completes th</w:t>
      </w:r>
      <w:r w:rsidR="00D14589">
        <w:rPr>
          <w:rFonts w:ascii="Lato Light" w:hAnsi="Lato Light" w:cstheme="majorHAnsi"/>
          <w:lang w:val="en-US"/>
        </w:rPr>
        <w:t>e 1095-B</w:t>
      </w:r>
      <w:r>
        <w:rPr>
          <w:rFonts w:ascii="Lato Light" w:hAnsi="Lato Light" w:cstheme="majorHAnsi"/>
          <w:lang w:val="en-US"/>
        </w:rPr>
        <w:t xml:space="preserve"> form for employees (and family members) who were enrolled in the employer’s level-funded or ICHRA plan at any point in the calendar year</w:t>
      </w:r>
      <w:r w:rsidR="00EA5EA2">
        <w:rPr>
          <w:rFonts w:ascii="Lato Light" w:hAnsi="Lato Light" w:cstheme="majorHAnsi"/>
          <w:lang w:val="en-US"/>
        </w:rPr>
        <w:t>, including</w:t>
      </w:r>
      <w:r w:rsidR="00463CC7">
        <w:rPr>
          <w:rFonts w:ascii="Lato Light" w:hAnsi="Lato Light" w:cstheme="majorHAnsi"/>
          <w:lang w:val="en-US"/>
        </w:rPr>
        <w:t xml:space="preserve"> months enrolled under</w:t>
      </w:r>
      <w:r w:rsidR="00EA5EA2">
        <w:rPr>
          <w:rFonts w:ascii="Lato Light" w:hAnsi="Lato Light" w:cstheme="majorHAnsi"/>
          <w:lang w:val="en-US"/>
        </w:rPr>
        <w:t xml:space="preserve"> COBRA.</w:t>
      </w:r>
    </w:p>
    <w:p w14:paraId="111A0B2A" w14:textId="77777777" w:rsidR="00463CC7" w:rsidRDefault="00463CC7" w:rsidP="0026522A">
      <w:pPr>
        <w:spacing w:line="240" w:lineRule="auto"/>
        <w:rPr>
          <w:rFonts w:ascii="Lato Light" w:hAnsi="Lato Light" w:cstheme="majorHAnsi"/>
          <w:lang w:val="en-US"/>
        </w:rPr>
      </w:pPr>
    </w:p>
    <w:p w14:paraId="103D7A32" w14:textId="77777777" w:rsidR="00D84FAB" w:rsidRDefault="00D333E4" w:rsidP="00D333E4">
      <w:pPr>
        <w:pStyle w:val="ListParagraph"/>
        <w:numPr>
          <w:ilvl w:val="0"/>
          <w:numId w:val="22"/>
        </w:numPr>
        <w:spacing w:line="240" w:lineRule="auto"/>
        <w:rPr>
          <w:rFonts w:ascii="Lato Light" w:hAnsi="Lato Light" w:cstheme="majorHAnsi"/>
          <w:lang w:val="en-US"/>
        </w:rPr>
      </w:pPr>
      <w:r w:rsidRPr="00F647F8">
        <w:rPr>
          <w:rFonts w:ascii="Lato Light" w:hAnsi="Lato Light" w:cstheme="majorHAnsi"/>
          <w:b/>
          <w:bCs/>
          <w:lang w:val="en-US"/>
        </w:rPr>
        <w:t xml:space="preserve">Part </w:t>
      </w:r>
      <w:r w:rsidR="00EA5EA2" w:rsidRPr="00F647F8">
        <w:rPr>
          <w:rFonts w:ascii="Lato Light" w:hAnsi="Lato Light" w:cstheme="majorHAnsi"/>
          <w:b/>
          <w:bCs/>
          <w:lang w:val="en-US"/>
        </w:rPr>
        <w:t>I</w:t>
      </w:r>
      <w:r w:rsidR="00EA5EA2">
        <w:rPr>
          <w:rFonts w:ascii="Lato Light" w:hAnsi="Lato Light" w:cstheme="majorHAnsi"/>
          <w:lang w:val="en-US"/>
        </w:rPr>
        <w:t xml:space="preserve"> r</w:t>
      </w:r>
      <w:r>
        <w:rPr>
          <w:rFonts w:ascii="Lato Light" w:hAnsi="Lato Light" w:cstheme="majorHAnsi"/>
          <w:lang w:val="en-US"/>
        </w:rPr>
        <w:t>equire</w:t>
      </w:r>
      <w:r w:rsidR="00EA5EA2">
        <w:rPr>
          <w:rFonts w:ascii="Lato Light" w:hAnsi="Lato Light" w:cstheme="majorHAnsi"/>
          <w:lang w:val="en-US"/>
        </w:rPr>
        <w:t>s</w:t>
      </w:r>
      <w:r>
        <w:rPr>
          <w:rFonts w:ascii="Lato Light" w:hAnsi="Lato Light" w:cstheme="majorHAnsi"/>
          <w:lang w:val="en-US"/>
        </w:rPr>
        <w:t xml:space="preserve"> basic demographic information </w:t>
      </w:r>
      <w:r w:rsidR="00EA5EA2">
        <w:rPr>
          <w:rFonts w:ascii="Lato Light" w:hAnsi="Lato Light" w:cstheme="majorHAnsi"/>
          <w:lang w:val="en-US"/>
        </w:rPr>
        <w:t>identifying</w:t>
      </w:r>
      <w:r>
        <w:rPr>
          <w:rFonts w:ascii="Lato Light" w:hAnsi="Lato Light" w:cstheme="majorHAnsi"/>
          <w:lang w:val="en-US"/>
        </w:rPr>
        <w:t xml:space="preserve"> the employe</w:t>
      </w:r>
      <w:r w:rsidR="00EA5EA2">
        <w:rPr>
          <w:rFonts w:ascii="Lato Light" w:hAnsi="Lato Light" w:cstheme="majorHAnsi"/>
          <w:lang w:val="en-US"/>
        </w:rPr>
        <w:t>e.</w:t>
      </w:r>
    </w:p>
    <w:p w14:paraId="648A95C0" w14:textId="48592BD0" w:rsidR="00D14589" w:rsidRDefault="00D84FAB" w:rsidP="00D84FAB">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t xml:space="preserve">In line 8, the employer must indicate what type of </w:t>
      </w:r>
      <w:r w:rsidR="00F647F8">
        <w:rPr>
          <w:rFonts w:ascii="Lato Light" w:hAnsi="Lato Light" w:cstheme="majorHAnsi"/>
          <w:lang w:val="en-US"/>
        </w:rPr>
        <w:t>enrollment for the covered employee.</w:t>
      </w:r>
      <w:r>
        <w:rPr>
          <w:rFonts w:ascii="Lato Light" w:hAnsi="Lato Light" w:cstheme="majorHAnsi"/>
          <w:lang w:val="en-US"/>
        </w:rPr>
        <w:t xml:space="preserve"> Populate with </w:t>
      </w:r>
      <w:r w:rsidRPr="00D84FAB">
        <w:rPr>
          <w:rFonts w:ascii="Lato Light" w:hAnsi="Lato Light" w:cstheme="majorHAnsi"/>
          <w:b/>
          <w:bCs/>
          <w:lang w:val="en-US"/>
        </w:rPr>
        <w:t>B</w:t>
      </w:r>
      <w:r>
        <w:rPr>
          <w:rFonts w:ascii="Lato Light" w:hAnsi="Lato Light" w:cstheme="majorHAnsi"/>
          <w:lang w:val="en-US"/>
        </w:rPr>
        <w:t xml:space="preserve"> for level-funded coverage or </w:t>
      </w:r>
      <w:r w:rsidRPr="00D84FAB">
        <w:rPr>
          <w:rFonts w:ascii="Lato Light" w:hAnsi="Lato Light" w:cstheme="majorHAnsi"/>
          <w:b/>
          <w:bCs/>
          <w:lang w:val="en-US"/>
        </w:rPr>
        <w:t>G</w:t>
      </w:r>
      <w:r>
        <w:rPr>
          <w:rFonts w:ascii="Lato Light" w:hAnsi="Lato Light" w:cstheme="majorHAnsi"/>
          <w:lang w:val="en-US"/>
        </w:rPr>
        <w:t xml:space="preserve"> for an ICHRA.</w:t>
      </w:r>
    </w:p>
    <w:p w14:paraId="5C40545E" w14:textId="47020A9A" w:rsidR="00D333E4" w:rsidRDefault="00D14589" w:rsidP="00D84FAB">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t>If the employer switched between level-funded and ICHRA during the calendar year, the IRS does not give clear direction which code to use.</w:t>
      </w:r>
    </w:p>
    <w:p w14:paraId="6AD9FADD" w14:textId="6195942D" w:rsidR="00EA5EA2" w:rsidRDefault="00EA5EA2" w:rsidP="00D333E4">
      <w:pPr>
        <w:pStyle w:val="ListParagraph"/>
        <w:numPr>
          <w:ilvl w:val="0"/>
          <w:numId w:val="22"/>
        </w:numPr>
        <w:spacing w:line="240" w:lineRule="auto"/>
        <w:rPr>
          <w:rFonts w:ascii="Lato Light" w:hAnsi="Lato Light" w:cstheme="majorHAnsi"/>
          <w:lang w:val="en-US"/>
        </w:rPr>
      </w:pPr>
      <w:r w:rsidRPr="00F647F8">
        <w:rPr>
          <w:rFonts w:ascii="Lato Light" w:hAnsi="Lato Light" w:cstheme="majorHAnsi"/>
          <w:b/>
          <w:bCs/>
          <w:lang w:val="en-US"/>
        </w:rPr>
        <w:t>Part II</w:t>
      </w:r>
      <w:r>
        <w:rPr>
          <w:rFonts w:ascii="Lato Light" w:hAnsi="Lato Light" w:cstheme="majorHAnsi"/>
          <w:lang w:val="en-US"/>
        </w:rPr>
        <w:t xml:space="preserve"> is only completed by insurance companies, so non-ALEs</w:t>
      </w:r>
      <w:r w:rsidR="00463CC7">
        <w:rPr>
          <w:rFonts w:ascii="Lato Light" w:hAnsi="Lato Light" w:cstheme="majorHAnsi"/>
          <w:lang w:val="en-US"/>
        </w:rPr>
        <w:t xml:space="preserve"> will</w:t>
      </w:r>
      <w:r>
        <w:rPr>
          <w:rFonts w:ascii="Lato Light" w:hAnsi="Lato Light" w:cstheme="majorHAnsi"/>
          <w:lang w:val="en-US"/>
        </w:rPr>
        <w:t xml:space="preserve"> skip this</w:t>
      </w:r>
      <w:r w:rsidR="00463CC7">
        <w:rPr>
          <w:rFonts w:ascii="Lato Light" w:hAnsi="Lato Light" w:cstheme="majorHAnsi"/>
          <w:lang w:val="en-US"/>
        </w:rPr>
        <w:t xml:space="preserve"> section</w:t>
      </w:r>
      <w:r>
        <w:rPr>
          <w:rFonts w:ascii="Lato Light" w:hAnsi="Lato Light" w:cstheme="majorHAnsi"/>
          <w:lang w:val="en-US"/>
        </w:rPr>
        <w:t>.</w:t>
      </w:r>
    </w:p>
    <w:p w14:paraId="48579A85" w14:textId="7B488981" w:rsidR="00D333E4" w:rsidRDefault="00EA5EA2" w:rsidP="00D333E4">
      <w:pPr>
        <w:pStyle w:val="ListParagraph"/>
        <w:numPr>
          <w:ilvl w:val="0"/>
          <w:numId w:val="22"/>
        </w:numPr>
        <w:spacing w:line="240" w:lineRule="auto"/>
        <w:rPr>
          <w:rFonts w:ascii="Lato Light" w:hAnsi="Lato Light" w:cstheme="majorHAnsi"/>
          <w:lang w:val="en-US"/>
        </w:rPr>
      </w:pPr>
      <w:r w:rsidRPr="00F647F8">
        <w:rPr>
          <w:rFonts w:ascii="Lato Light" w:hAnsi="Lato Light" w:cstheme="majorHAnsi"/>
          <w:b/>
          <w:bCs/>
          <w:lang w:val="en-US"/>
        </w:rPr>
        <w:t>Part III</w:t>
      </w:r>
      <w:r>
        <w:rPr>
          <w:rFonts w:ascii="Lato Light" w:hAnsi="Lato Light" w:cstheme="majorHAnsi"/>
          <w:lang w:val="en-US"/>
        </w:rPr>
        <w:t xml:space="preserve"> requires basic demographic information identifying the employer.</w:t>
      </w:r>
    </w:p>
    <w:p w14:paraId="69C21E0B" w14:textId="46D341CE" w:rsidR="00EA5EA2" w:rsidRDefault="00EA5EA2" w:rsidP="00D333E4">
      <w:pPr>
        <w:pStyle w:val="ListParagraph"/>
        <w:numPr>
          <w:ilvl w:val="0"/>
          <w:numId w:val="22"/>
        </w:numPr>
        <w:spacing w:line="240" w:lineRule="auto"/>
        <w:rPr>
          <w:rFonts w:ascii="Lato Light" w:hAnsi="Lato Light" w:cstheme="majorHAnsi"/>
          <w:lang w:val="en-US"/>
        </w:rPr>
      </w:pPr>
      <w:r w:rsidRPr="00F647F8">
        <w:rPr>
          <w:rFonts w:ascii="Lato Light" w:hAnsi="Lato Light" w:cstheme="majorHAnsi"/>
          <w:b/>
          <w:bCs/>
          <w:lang w:val="en-US"/>
        </w:rPr>
        <w:t>Part IV</w:t>
      </w:r>
      <w:r>
        <w:rPr>
          <w:rFonts w:ascii="Lato Light" w:hAnsi="Lato Light" w:cstheme="majorHAnsi"/>
          <w:lang w:val="en-US"/>
        </w:rPr>
        <w:t xml:space="preserve"> </w:t>
      </w:r>
      <w:r w:rsidR="00D84FAB">
        <w:rPr>
          <w:rFonts w:ascii="Lato Light" w:hAnsi="Lato Light" w:cstheme="majorHAnsi"/>
          <w:lang w:val="en-US"/>
        </w:rPr>
        <w:t>must list</w:t>
      </w:r>
      <w:r>
        <w:rPr>
          <w:rFonts w:ascii="Lato Light" w:hAnsi="Lato Light" w:cstheme="majorHAnsi"/>
          <w:lang w:val="en-US"/>
        </w:rPr>
        <w:t xml:space="preserve"> the enrolled employee first, marking any months the</w:t>
      </w:r>
      <w:r w:rsidR="00926B1E">
        <w:rPr>
          <w:rFonts w:ascii="Lato Light" w:hAnsi="Lato Light" w:cstheme="majorHAnsi"/>
          <w:lang w:val="en-US"/>
        </w:rPr>
        <w:t xml:space="preserve"> employee was</w:t>
      </w:r>
      <w:r>
        <w:rPr>
          <w:rFonts w:ascii="Lato Light" w:hAnsi="Lato Light" w:cstheme="majorHAnsi"/>
          <w:lang w:val="en-US"/>
        </w:rPr>
        <w:t xml:space="preserve"> enrolled </w:t>
      </w:r>
      <w:r w:rsidR="00463CC7">
        <w:rPr>
          <w:rFonts w:ascii="Lato Light" w:hAnsi="Lato Light" w:cstheme="majorHAnsi"/>
          <w:lang w:val="en-US"/>
        </w:rPr>
        <w:t xml:space="preserve">on </w:t>
      </w:r>
      <w:r>
        <w:rPr>
          <w:rFonts w:ascii="Lato Light" w:hAnsi="Lato Light" w:cstheme="majorHAnsi"/>
          <w:lang w:val="en-US"/>
        </w:rPr>
        <w:t>the level-funded or ICHRA plan</w:t>
      </w:r>
      <w:r w:rsidR="00DB32D3">
        <w:rPr>
          <w:rFonts w:ascii="Lato Light" w:hAnsi="Lato Light" w:cstheme="majorHAnsi"/>
          <w:lang w:val="en-US"/>
        </w:rPr>
        <w:t xml:space="preserve"> for even </w:t>
      </w:r>
      <w:r w:rsidR="00463CC7">
        <w:rPr>
          <w:rFonts w:ascii="Lato Light" w:hAnsi="Lato Light" w:cstheme="majorHAnsi"/>
          <w:lang w:val="en-US"/>
        </w:rPr>
        <w:t xml:space="preserve">one </w:t>
      </w:r>
      <w:r w:rsidR="00DB32D3">
        <w:rPr>
          <w:rFonts w:ascii="Lato Light" w:hAnsi="Lato Light" w:cstheme="majorHAnsi"/>
          <w:lang w:val="en-US"/>
        </w:rPr>
        <w:t>day</w:t>
      </w:r>
      <w:r>
        <w:rPr>
          <w:rFonts w:ascii="Lato Light" w:hAnsi="Lato Light" w:cstheme="majorHAnsi"/>
          <w:lang w:val="en-US"/>
        </w:rPr>
        <w:t>.</w:t>
      </w:r>
    </w:p>
    <w:p w14:paraId="525F71AE" w14:textId="0E3DA208" w:rsidR="00EA5EA2" w:rsidRDefault="00EA5EA2" w:rsidP="00EA5EA2">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t>Note</w:t>
      </w:r>
      <w:r w:rsidR="00F647F8">
        <w:rPr>
          <w:rFonts w:ascii="Lato Light" w:hAnsi="Lato Light" w:cstheme="majorHAnsi"/>
          <w:lang w:val="en-US"/>
        </w:rPr>
        <w:t>,</w:t>
      </w:r>
      <w:r>
        <w:rPr>
          <w:rFonts w:ascii="Lato Light" w:hAnsi="Lato Light" w:cstheme="majorHAnsi"/>
          <w:lang w:val="en-US"/>
        </w:rPr>
        <w:t xml:space="preserve"> while there is a place in the first row to enter a date of birth (DOB) if SSN is not available, enrolled </w:t>
      </w:r>
      <w:r w:rsidRPr="00D14589">
        <w:rPr>
          <w:rFonts w:ascii="Lato Light" w:hAnsi="Lato Light" w:cstheme="majorHAnsi"/>
          <w:i/>
          <w:iCs/>
          <w:u w:val="single"/>
          <w:lang w:val="en-US"/>
        </w:rPr>
        <w:t>employees</w:t>
      </w:r>
      <w:r>
        <w:rPr>
          <w:rFonts w:ascii="Lato Light" w:hAnsi="Lato Light" w:cstheme="majorHAnsi"/>
          <w:lang w:val="en-US"/>
        </w:rPr>
        <w:t xml:space="preserve"> are actually required to show </w:t>
      </w:r>
      <w:r w:rsidR="00A32F08">
        <w:rPr>
          <w:rFonts w:ascii="Lato Light" w:hAnsi="Lato Light" w:cstheme="majorHAnsi"/>
          <w:lang w:val="en-US"/>
        </w:rPr>
        <w:t>an</w:t>
      </w:r>
      <w:r w:rsidR="00F647F8">
        <w:rPr>
          <w:rFonts w:ascii="Lato Light" w:hAnsi="Lato Light" w:cstheme="majorHAnsi"/>
          <w:lang w:val="en-US"/>
        </w:rPr>
        <w:t xml:space="preserve"> </w:t>
      </w:r>
      <w:r>
        <w:rPr>
          <w:rFonts w:ascii="Lato Light" w:hAnsi="Lato Light" w:cstheme="majorHAnsi"/>
          <w:lang w:val="en-US"/>
        </w:rPr>
        <w:t>SSN, so the DOB field is not an option</w:t>
      </w:r>
      <w:r w:rsidR="00F647F8">
        <w:rPr>
          <w:rFonts w:ascii="Lato Light" w:hAnsi="Lato Light" w:cstheme="majorHAnsi"/>
          <w:lang w:val="en-US"/>
        </w:rPr>
        <w:t>.</w:t>
      </w:r>
    </w:p>
    <w:p w14:paraId="1949434E" w14:textId="06EC19C7" w:rsidR="00EA5EA2" w:rsidRDefault="00EA5EA2" w:rsidP="00EA5EA2">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t>If any family members were enrolled, they are listed below the employee, marking the months they were enrolled</w:t>
      </w:r>
      <w:r w:rsidR="00463CC7">
        <w:rPr>
          <w:rFonts w:ascii="Lato Light" w:hAnsi="Lato Light" w:cstheme="majorHAnsi"/>
          <w:lang w:val="en-US"/>
        </w:rPr>
        <w:t xml:space="preserve"> on</w:t>
      </w:r>
      <w:r>
        <w:rPr>
          <w:rFonts w:ascii="Lato Light" w:hAnsi="Lato Light" w:cstheme="majorHAnsi"/>
          <w:lang w:val="en-US"/>
        </w:rPr>
        <w:t xml:space="preserve"> the level-funded or ICHRA plan</w:t>
      </w:r>
      <w:r w:rsidR="00DB32D3">
        <w:rPr>
          <w:rFonts w:ascii="Lato Light" w:hAnsi="Lato Light" w:cstheme="majorHAnsi"/>
          <w:lang w:val="en-US"/>
        </w:rPr>
        <w:t xml:space="preserve"> for even </w:t>
      </w:r>
      <w:r w:rsidR="00463CC7">
        <w:rPr>
          <w:rFonts w:ascii="Lato Light" w:hAnsi="Lato Light" w:cstheme="majorHAnsi"/>
          <w:lang w:val="en-US"/>
        </w:rPr>
        <w:t>one</w:t>
      </w:r>
      <w:r w:rsidR="00DB32D3">
        <w:rPr>
          <w:rFonts w:ascii="Lato Light" w:hAnsi="Lato Light" w:cstheme="majorHAnsi"/>
          <w:lang w:val="en-US"/>
        </w:rPr>
        <w:t xml:space="preserve"> day</w:t>
      </w:r>
      <w:r>
        <w:rPr>
          <w:rFonts w:ascii="Lato Light" w:hAnsi="Lato Light" w:cstheme="majorHAnsi"/>
          <w:lang w:val="en-US"/>
        </w:rPr>
        <w:t>.</w:t>
      </w:r>
    </w:p>
    <w:p w14:paraId="1B0B58F1" w14:textId="0918DB9B" w:rsidR="00EA5EA2" w:rsidRDefault="00EA5EA2" w:rsidP="00EA5EA2">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lastRenderedPageBreak/>
        <w:t>If a family member does not have or does not provide an SSN or other TIN, a DOB may be entered instead, but the employer must keep records in their files that they requested a dependent’s SSN/TIN at least three times:</w:t>
      </w:r>
    </w:p>
    <w:p w14:paraId="31312A54" w14:textId="33A01752" w:rsidR="00EA5EA2" w:rsidRDefault="00EA5EA2" w:rsidP="00F647F8">
      <w:pPr>
        <w:pStyle w:val="ListParagraph"/>
        <w:numPr>
          <w:ilvl w:val="2"/>
          <w:numId w:val="25"/>
        </w:numPr>
        <w:spacing w:line="240" w:lineRule="auto"/>
        <w:rPr>
          <w:rFonts w:ascii="Lato Light" w:hAnsi="Lato Light" w:cstheme="majorHAnsi"/>
          <w:lang w:val="en-US"/>
        </w:rPr>
      </w:pPr>
      <w:r>
        <w:rPr>
          <w:rFonts w:ascii="Lato Light" w:hAnsi="Lato Light" w:cstheme="majorHAnsi"/>
          <w:lang w:val="en-US"/>
        </w:rPr>
        <w:t>Upon initial enrollment</w:t>
      </w:r>
    </w:p>
    <w:p w14:paraId="7C501F6D" w14:textId="33B7A933" w:rsidR="00D84FAB" w:rsidRDefault="00D3154B" w:rsidP="00F647F8">
      <w:pPr>
        <w:pStyle w:val="ListParagraph"/>
        <w:numPr>
          <w:ilvl w:val="2"/>
          <w:numId w:val="25"/>
        </w:numPr>
        <w:spacing w:line="240" w:lineRule="auto"/>
        <w:rPr>
          <w:rFonts w:ascii="Lato Light" w:hAnsi="Lato Light" w:cstheme="majorHAnsi"/>
          <w:lang w:val="en-US"/>
        </w:rPr>
      </w:pPr>
      <w:r>
        <w:rPr>
          <w:rFonts w:ascii="Lato Light" w:hAnsi="Lato Light" w:cstheme="majorHAnsi"/>
          <w:lang w:val="en-US"/>
        </w:rPr>
        <w:t>By December 31 that year (or by January 31 if enrollment was in December)</w:t>
      </w:r>
    </w:p>
    <w:p w14:paraId="46EE76AC" w14:textId="78C6B558" w:rsidR="00D3154B" w:rsidRDefault="00D3154B" w:rsidP="00F647F8">
      <w:pPr>
        <w:pStyle w:val="ListParagraph"/>
        <w:numPr>
          <w:ilvl w:val="2"/>
          <w:numId w:val="25"/>
        </w:numPr>
        <w:spacing w:line="240" w:lineRule="auto"/>
        <w:rPr>
          <w:rFonts w:ascii="Lato Light" w:hAnsi="Lato Light" w:cstheme="majorHAnsi"/>
          <w:lang w:val="en-US"/>
        </w:rPr>
      </w:pPr>
      <w:r>
        <w:rPr>
          <w:rFonts w:ascii="Lato Light" w:hAnsi="Lato Light" w:cstheme="majorHAnsi"/>
          <w:lang w:val="en-US"/>
        </w:rPr>
        <w:t xml:space="preserve">A final request by </w:t>
      </w:r>
      <w:r w:rsidR="00D14589">
        <w:rPr>
          <w:rFonts w:ascii="Lato Light" w:hAnsi="Lato Light" w:cstheme="majorHAnsi"/>
          <w:lang w:val="en-US"/>
        </w:rPr>
        <w:t xml:space="preserve">the next </w:t>
      </w:r>
      <w:r>
        <w:rPr>
          <w:rFonts w:ascii="Lato Light" w:hAnsi="Lato Light" w:cstheme="majorHAnsi"/>
          <w:lang w:val="en-US"/>
        </w:rPr>
        <w:t>December 31</w:t>
      </w:r>
    </w:p>
    <w:p w14:paraId="0E7996F1" w14:textId="609B561C" w:rsidR="00EA5EA2" w:rsidRDefault="00D84FAB" w:rsidP="00D84FAB">
      <w:pPr>
        <w:pStyle w:val="ListParagraph"/>
        <w:numPr>
          <w:ilvl w:val="1"/>
          <w:numId w:val="22"/>
        </w:numPr>
        <w:spacing w:line="240" w:lineRule="auto"/>
        <w:rPr>
          <w:rFonts w:ascii="Lato Light" w:hAnsi="Lato Light" w:cstheme="majorHAnsi"/>
          <w:lang w:val="en-US"/>
        </w:rPr>
      </w:pPr>
      <w:r>
        <w:rPr>
          <w:rFonts w:ascii="Lato Light" w:hAnsi="Lato Light" w:cstheme="majorHAnsi"/>
          <w:lang w:val="en-US"/>
        </w:rPr>
        <w:t xml:space="preserve">If </w:t>
      </w:r>
      <w:r w:rsidR="00D14589">
        <w:rPr>
          <w:rFonts w:ascii="Lato Light" w:hAnsi="Lato Light" w:cstheme="majorHAnsi"/>
          <w:lang w:val="en-US"/>
        </w:rPr>
        <w:t>individuals express</w:t>
      </w:r>
      <w:r>
        <w:rPr>
          <w:rFonts w:ascii="Lato Light" w:hAnsi="Lato Light" w:cstheme="majorHAnsi"/>
          <w:lang w:val="en-US"/>
        </w:rPr>
        <w:t xml:space="preserve"> hesitation about providing a dependent’s SSN/TIN, the IRS provides FAQs employers can share: </w:t>
      </w:r>
      <w:hyperlink r:id="rId9" w:history="1">
        <w:r w:rsidRPr="004A2B48">
          <w:rPr>
            <w:rStyle w:val="Hyperlink"/>
            <w:rFonts w:ascii="Lato Light" w:hAnsi="Lato Light" w:cstheme="majorHAnsi"/>
            <w:lang w:val="en-US"/>
          </w:rPr>
          <w:t>https://www.irs.gov/affordable-care-act/questions-and-answers-about-reporting-social-security-numbers-to-your-health-insurance-company</w:t>
        </w:r>
      </w:hyperlink>
    </w:p>
    <w:p w14:paraId="4748337D" w14:textId="77777777" w:rsidR="00D84FAB" w:rsidRPr="00D84FAB" w:rsidRDefault="00D84FAB" w:rsidP="00D84FAB">
      <w:pPr>
        <w:spacing w:line="240" w:lineRule="auto"/>
        <w:rPr>
          <w:rFonts w:ascii="Lato Light" w:hAnsi="Lato Light" w:cstheme="majorHAnsi"/>
          <w:lang w:val="en-US"/>
        </w:rPr>
      </w:pPr>
    </w:p>
    <w:p w14:paraId="573D1F43" w14:textId="382F45F3" w:rsidR="00D3154B" w:rsidRDefault="00D3154B" w:rsidP="00D3154B">
      <w:pPr>
        <w:spacing w:line="240" w:lineRule="auto"/>
        <w:rPr>
          <w:rFonts w:ascii="Lato Light" w:hAnsi="Lato Light" w:cstheme="majorHAnsi"/>
        </w:rPr>
      </w:pPr>
      <w:r w:rsidRPr="00D84FAB">
        <w:rPr>
          <w:rFonts w:ascii="Lato Light" w:hAnsi="Lato Light" w:cstheme="majorHAnsi"/>
          <w:b/>
          <w:bCs/>
        </w:rPr>
        <w:t xml:space="preserve">The </w:t>
      </w:r>
      <w:r w:rsidR="00926B1E">
        <w:rPr>
          <w:rFonts w:ascii="Lato Light" w:hAnsi="Lato Light" w:cstheme="majorHAnsi"/>
          <w:b/>
          <w:bCs/>
        </w:rPr>
        <w:t xml:space="preserve">Form </w:t>
      </w:r>
      <w:r w:rsidRPr="00D84FAB">
        <w:rPr>
          <w:rFonts w:ascii="Lato Light" w:hAnsi="Lato Light" w:cstheme="majorHAnsi"/>
          <w:b/>
          <w:bCs/>
        </w:rPr>
        <w:t>109</w:t>
      </w:r>
      <w:r>
        <w:rPr>
          <w:rFonts w:ascii="Lato Light" w:hAnsi="Lato Light" w:cstheme="majorHAnsi"/>
          <w:b/>
          <w:bCs/>
        </w:rPr>
        <w:t>4</w:t>
      </w:r>
      <w:r w:rsidRPr="00D84FAB">
        <w:rPr>
          <w:rFonts w:ascii="Lato Light" w:hAnsi="Lato Light" w:cstheme="majorHAnsi"/>
          <w:b/>
          <w:bCs/>
        </w:rPr>
        <w:t xml:space="preserve">-B </w:t>
      </w:r>
      <w:r>
        <w:rPr>
          <w:rFonts w:ascii="Lato Light" w:hAnsi="Lato Light" w:cstheme="majorHAnsi"/>
          <w:b/>
          <w:bCs/>
        </w:rPr>
        <w:t xml:space="preserve">Transmittal Cover Sheet: </w:t>
      </w:r>
      <w:hyperlink r:id="rId10" w:history="1">
        <w:r w:rsidRPr="004A2B48">
          <w:rPr>
            <w:rStyle w:val="Hyperlink"/>
            <w:rFonts w:ascii="Lato Light" w:hAnsi="Lato Light" w:cstheme="majorHAnsi"/>
          </w:rPr>
          <w:t>https://www.irs.gov/pub/irs-pdf/f1094b.pdf</w:t>
        </w:r>
      </w:hyperlink>
    </w:p>
    <w:p w14:paraId="5EE51FAF" w14:textId="77777777" w:rsidR="00D3154B" w:rsidRDefault="00D3154B" w:rsidP="00D3154B">
      <w:pPr>
        <w:spacing w:line="240" w:lineRule="auto"/>
        <w:rPr>
          <w:rFonts w:ascii="Lato Light" w:hAnsi="Lato Light" w:cstheme="majorHAnsi"/>
        </w:rPr>
      </w:pPr>
    </w:p>
    <w:p w14:paraId="2BBF17DC" w14:textId="36817145" w:rsidR="003D1808" w:rsidRDefault="00D3154B" w:rsidP="00D3154B">
      <w:pPr>
        <w:spacing w:line="240" w:lineRule="auto"/>
        <w:rPr>
          <w:rFonts w:ascii="Lato Light" w:hAnsi="Lato Light" w:cstheme="majorHAnsi"/>
          <w:lang w:val="en-US"/>
        </w:rPr>
      </w:pPr>
      <w:r>
        <w:rPr>
          <w:rFonts w:ascii="Lato Light" w:hAnsi="Lato Light" w:cstheme="majorHAnsi"/>
          <w:lang w:val="en-US"/>
        </w:rPr>
        <w:t xml:space="preserve">A non-ALE submitting one or more 1095-B forms to the IRS must submit them with a 1094-B transmittal cover sheet.  It is an extremely straightforward form asking for basic demographic information to identify the employer, the number of 1095-B forms they are submitting with this 1094-B, and a </w:t>
      </w:r>
      <w:r w:rsidR="00D14589">
        <w:rPr>
          <w:rFonts w:ascii="Lato Light" w:hAnsi="Lato Light" w:cstheme="majorHAnsi"/>
          <w:lang w:val="en-US"/>
        </w:rPr>
        <w:t xml:space="preserve">line to capture </w:t>
      </w:r>
      <w:r>
        <w:rPr>
          <w:rFonts w:ascii="Lato Light" w:hAnsi="Lato Light" w:cstheme="majorHAnsi"/>
          <w:lang w:val="en-US"/>
        </w:rPr>
        <w:t>signature/title/date to make the submission official.</w:t>
      </w:r>
    </w:p>
    <w:p w14:paraId="1C994898" w14:textId="77777777" w:rsidR="00D3154B" w:rsidRDefault="00D3154B" w:rsidP="00D3154B">
      <w:pPr>
        <w:spacing w:line="240" w:lineRule="auto"/>
        <w:rPr>
          <w:rFonts w:ascii="Lato Light" w:hAnsi="Lato Light" w:cstheme="majorHAnsi"/>
          <w:lang w:val="en-US"/>
        </w:rPr>
      </w:pPr>
    </w:p>
    <w:p w14:paraId="127FEEA4" w14:textId="5D69905E" w:rsidR="00D3154B" w:rsidRPr="00D3154B" w:rsidRDefault="00D3154B" w:rsidP="00D3154B">
      <w:pPr>
        <w:spacing w:line="240" w:lineRule="auto"/>
        <w:rPr>
          <w:rFonts w:ascii="Lato Light" w:hAnsi="Lato Light" w:cstheme="majorHAnsi"/>
          <w:b/>
          <w:bCs/>
          <w:lang w:val="en-US"/>
        </w:rPr>
      </w:pPr>
      <w:r w:rsidRPr="00D3154B">
        <w:rPr>
          <w:rFonts w:ascii="Lato Light" w:hAnsi="Lato Light" w:cstheme="majorHAnsi"/>
          <w:b/>
          <w:bCs/>
          <w:lang w:val="en-US"/>
        </w:rPr>
        <w:t>Electronic Filing Required</w:t>
      </w:r>
      <w:r>
        <w:rPr>
          <w:rFonts w:ascii="Lato Light" w:hAnsi="Lato Light" w:cstheme="majorHAnsi"/>
          <w:b/>
          <w:bCs/>
          <w:lang w:val="en-US"/>
        </w:rPr>
        <w:t>:</w:t>
      </w:r>
    </w:p>
    <w:p w14:paraId="483BD9A1" w14:textId="77777777" w:rsidR="00D3154B" w:rsidRDefault="00D3154B" w:rsidP="00D3154B">
      <w:pPr>
        <w:spacing w:line="240" w:lineRule="auto"/>
        <w:rPr>
          <w:rFonts w:ascii="Lato Light" w:hAnsi="Lato Light" w:cstheme="majorHAnsi"/>
          <w:lang w:val="en-US"/>
        </w:rPr>
      </w:pPr>
    </w:p>
    <w:p w14:paraId="4274B413" w14:textId="6CA83758" w:rsidR="00D3154B" w:rsidRDefault="00D3154B" w:rsidP="00D3154B">
      <w:pPr>
        <w:spacing w:line="240" w:lineRule="auto"/>
        <w:rPr>
          <w:rFonts w:ascii="Lato Light" w:hAnsi="Lato Light" w:cstheme="majorHAnsi"/>
          <w:lang w:val="en-US"/>
        </w:rPr>
      </w:pPr>
      <w:r>
        <w:rPr>
          <w:rFonts w:ascii="Lato Light" w:hAnsi="Lato Light" w:cstheme="majorHAnsi"/>
          <w:lang w:val="en-US"/>
        </w:rPr>
        <w:t xml:space="preserve">Technically, all forms are submitted to the IRS electronically via </w:t>
      </w:r>
      <w:r w:rsidR="00A32F08">
        <w:rPr>
          <w:rFonts w:ascii="Lato Light" w:hAnsi="Lato Light" w:cstheme="majorHAnsi"/>
          <w:lang w:val="en-US"/>
        </w:rPr>
        <w:t>an</w:t>
      </w:r>
      <w:r>
        <w:rPr>
          <w:rFonts w:ascii="Lato Light" w:hAnsi="Lato Light" w:cstheme="majorHAnsi"/>
          <w:lang w:val="en-US"/>
        </w:rPr>
        <w:t xml:space="preserve"> XML file.  The ACA Information Reporting (AIR) system the IRS created is </w:t>
      </w:r>
      <w:r w:rsidR="00463CC7">
        <w:rPr>
          <w:rFonts w:ascii="Lato Light" w:hAnsi="Lato Light" w:cstheme="majorHAnsi"/>
          <w:lang w:val="en-US"/>
        </w:rPr>
        <w:t xml:space="preserve">complex </w:t>
      </w:r>
      <w:r>
        <w:rPr>
          <w:rFonts w:ascii="Lato Light" w:hAnsi="Lato Light" w:cstheme="majorHAnsi"/>
          <w:lang w:val="en-US"/>
        </w:rPr>
        <w:t xml:space="preserve">and time consuming, so it is ideal to outsource the creation of the forms and the electronic filing to a </w:t>
      </w:r>
      <w:r w:rsidR="00463CC7">
        <w:rPr>
          <w:rFonts w:ascii="Lato Light" w:hAnsi="Lato Light" w:cstheme="majorHAnsi"/>
          <w:lang w:val="en-US"/>
        </w:rPr>
        <w:t>third-party</w:t>
      </w:r>
      <w:r>
        <w:rPr>
          <w:rFonts w:ascii="Lato Light" w:hAnsi="Lato Light" w:cstheme="majorHAnsi"/>
          <w:lang w:val="en-US"/>
        </w:rPr>
        <w:t xml:space="preserve"> technology provider, such as the employer’s payroll or HRIS partner.</w:t>
      </w:r>
    </w:p>
    <w:p w14:paraId="605D9B38" w14:textId="77777777" w:rsidR="00D3154B" w:rsidRDefault="00D3154B" w:rsidP="00D3154B">
      <w:pPr>
        <w:spacing w:line="240" w:lineRule="auto"/>
        <w:rPr>
          <w:rFonts w:ascii="Lato Light" w:hAnsi="Lato Light" w:cstheme="majorHAnsi"/>
          <w:lang w:val="en-US"/>
        </w:rPr>
      </w:pPr>
    </w:p>
    <w:p w14:paraId="51DE7ED3" w14:textId="39571912" w:rsidR="00D3154B" w:rsidRPr="00D3154B" w:rsidRDefault="00D3154B" w:rsidP="00D3154B">
      <w:pPr>
        <w:spacing w:line="240" w:lineRule="auto"/>
        <w:rPr>
          <w:rFonts w:ascii="Lato Light" w:hAnsi="Lato Light" w:cstheme="majorHAnsi"/>
          <w:b/>
          <w:bCs/>
          <w:lang w:val="en-US"/>
        </w:rPr>
      </w:pPr>
      <w:r w:rsidRPr="00D3154B">
        <w:rPr>
          <w:rFonts w:ascii="Lato Light" w:hAnsi="Lato Light" w:cstheme="majorHAnsi"/>
          <w:b/>
          <w:bCs/>
          <w:lang w:val="en-US"/>
        </w:rPr>
        <w:t>Auditing and Recordkeeping</w:t>
      </w:r>
      <w:r>
        <w:rPr>
          <w:rFonts w:ascii="Lato Light" w:hAnsi="Lato Light" w:cstheme="majorHAnsi"/>
          <w:b/>
          <w:bCs/>
          <w:lang w:val="en-US"/>
        </w:rPr>
        <w:t>:</w:t>
      </w:r>
    </w:p>
    <w:p w14:paraId="7C5FA98F" w14:textId="77777777" w:rsidR="00D3154B" w:rsidRDefault="00D3154B" w:rsidP="00D3154B">
      <w:pPr>
        <w:spacing w:line="240" w:lineRule="auto"/>
        <w:rPr>
          <w:rFonts w:ascii="Lato Light" w:hAnsi="Lato Light" w:cstheme="majorHAnsi"/>
          <w:lang w:val="en-US"/>
        </w:rPr>
      </w:pPr>
    </w:p>
    <w:p w14:paraId="4E70C937" w14:textId="77777777" w:rsidR="00D3154B" w:rsidRDefault="00D3154B" w:rsidP="00D3154B">
      <w:pPr>
        <w:spacing w:line="240" w:lineRule="auto"/>
        <w:rPr>
          <w:rFonts w:ascii="Lato Light" w:hAnsi="Lato Light" w:cstheme="majorHAnsi"/>
          <w:lang w:val="en-US"/>
        </w:rPr>
      </w:pPr>
      <w:r>
        <w:rPr>
          <w:rFonts w:ascii="Lato Light" w:hAnsi="Lato Light" w:cstheme="majorHAnsi"/>
          <w:lang w:val="en-US"/>
        </w:rPr>
        <w:t xml:space="preserve">These are the employer’s tax forms, so it is imperative the employer audit each 1095-B, along with the 1094-B and the XML file, for accuracy.  Then the employer should keep copies of each 1095-B, the 1094-B, and the XML file, along with proof of the e-filing submission, in their own records for four years.  </w:t>
      </w:r>
    </w:p>
    <w:p w14:paraId="64ED7910" w14:textId="77777777" w:rsidR="00D3154B" w:rsidRDefault="00D3154B" w:rsidP="00D3154B">
      <w:pPr>
        <w:spacing w:line="240" w:lineRule="auto"/>
        <w:rPr>
          <w:rFonts w:ascii="Lato Light" w:hAnsi="Lato Light" w:cstheme="majorHAnsi"/>
          <w:lang w:val="en-US"/>
        </w:rPr>
      </w:pPr>
    </w:p>
    <w:p w14:paraId="6E598D0D" w14:textId="7613227A" w:rsidR="00D3154B" w:rsidRDefault="00D3154B" w:rsidP="00D3154B">
      <w:pPr>
        <w:spacing w:line="240" w:lineRule="auto"/>
        <w:rPr>
          <w:rFonts w:ascii="Lato Light" w:hAnsi="Lato Light" w:cstheme="majorHAnsi"/>
          <w:lang w:val="en-US"/>
        </w:rPr>
      </w:pPr>
      <w:r>
        <w:rPr>
          <w:rFonts w:ascii="Lato Light" w:hAnsi="Lato Light" w:cstheme="majorHAnsi"/>
          <w:lang w:val="en-US"/>
        </w:rPr>
        <w:t>As discussed above, three attempts to request a dependent’s SSN/TIN also must be kept on file for as long as the employer will report their DOB on their 1095-B.</w:t>
      </w:r>
    </w:p>
    <w:p w14:paraId="20FC3761" w14:textId="77777777" w:rsidR="00D3154B" w:rsidRDefault="00D3154B" w:rsidP="00D3154B">
      <w:pPr>
        <w:spacing w:line="240" w:lineRule="auto"/>
        <w:rPr>
          <w:rFonts w:ascii="Lato Light" w:hAnsi="Lato Light" w:cstheme="majorHAnsi"/>
          <w:lang w:val="en-US"/>
        </w:rPr>
      </w:pPr>
    </w:p>
    <w:p w14:paraId="4497B9C1" w14:textId="142A6450" w:rsidR="00D3154B" w:rsidRPr="00D3154B" w:rsidRDefault="00D3154B" w:rsidP="00D3154B">
      <w:pPr>
        <w:spacing w:line="240" w:lineRule="auto"/>
        <w:rPr>
          <w:rFonts w:ascii="Lato Light" w:hAnsi="Lato Light" w:cstheme="majorHAnsi"/>
          <w:b/>
          <w:bCs/>
          <w:lang w:val="en-US"/>
        </w:rPr>
      </w:pPr>
      <w:r>
        <w:rPr>
          <w:rFonts w:ascii="Lato Light" w:hAnsi="Lato Light" w:cstheme="majorHAnsi"/>
          <w:b/>
          <w:bCs/>
          <w:lang w:val="en-US"/>
        </w:rPr>
        <w:t>Deadlin</w:t>
      </w:r>
      <w:r w:rsidRPr="00D3154B">
        <w:rPr>
          <w:rFonts w:ascii="Lato Light" w:hAnsi="Lato Light" w:cstheme="majorHAnsi"/>
          <w:b/>
          <w:bCs/>
          <w:lang w:val="en-US"/>
        </w:rPr>
        <w:t>es</w:t>
      </w:r>
      <w:r>
        <w:rPr>
          <w:rFonts w:ascii="Lato Light" w:hAnsi="Lato Light" w:cstheme="majorHAnsi"/>
          <w:b/>
          <w:bCs/>
          <w:lang w:val="en-US"/>
        </w:rPr>
        <w:t>:</w:t>
      </w:r>
    </w:p>
    <w:p w14:paraId="7668018C" w14:textId="77777777" w:rsidR="00D3154B" w:rsidRDefault="00D3154B" w:rsidP="00D3154B">
      <w:pPr>
        <w:spacing w:line="240" w:lineRule="auto"/>
        <w:rPr>
          <w:rFonts w:ascii="Lato Light" w:hAnsi="Lato Light" w:cstheme="majorHAnsi"/>
          <w:lang w:val="en-US"/>
        </w:rPr>
      </w:pPr>
    </w:p>
    <w:p w14:paraId="37ED7FBC" w14:textId="7E654427" w:rsidR="00463CC7" w:rsidRDefault="00D14589" w:rsidP="00D3154B">
      <w:pPr>
        <w:spacing w:line="240" w:lineRule="auto"/>
        <w:rPr>
          <w:rFonts w:ascii="Lato Light" w:hAnsi="Lato Light" w:cstheme="majorHAnsi"/>
          <w:lang w:val="en-US"/>
        </w:rPr>
      </w:pPr>
      <w:r>
        <w:rPr>
          <w:rFonts w:ascii="Lato Light" w:hAnsi="Lato Light" w:cstheme="majorHAnsi"/>
          <w:lang w:val="en-US"/>
        </w:rPr>
        <w:t>Statements are due to individuals within 30 days following January 31 (usually March 1).</w:t>
      </w:r>
      <w:r w:rsidR="00153C8C">
        <w:rPr>
          <w:rFonts w:ascii="Lato Light" w:hAnsi="Lato Light" w:cstheme="majorHAnsi"/>
          <w:lang w:val="en-US"/>
        </w:rPr>
        <w:t xml:space="preserve">  However, regulations provide a </w:t>
      </w:r>
      <w:r w:rsidR="00463CC7">
        <w:rPr>
          <w:rFonts w:ascii="Lato Light" w:hAnsi="Lato Light" w:cstheme="majorHAnsi"/>
          <w:lang w:val="en-US"/>
        </w:rPr>
        <w:t xml:space="preserve">method </w:t>
      </w:r>
      <w:r w:rsidR="00153C8C">
        <w:rPr>
          <w:rFonts w:ascii="Lato Light" w:hAnsi="Lato Light" w:cstheme="majorHAnsi"/>
          <w:lang w:val="en-US"/>
        </w:rPr>
        <w:t xml:space="preserve">for employers to post a prominent statement on their website for employees to request a copy of their 1095-B, in which case the employer would only have to distribute them to employees who ask.  </w:t>
      </w:r>
    </w:p>
    <w:p w14:paraId="2240F598" w14:textId="77777777" w:rsidR="00463CC7" w:rsidRDefault="00463CC7" w:rsidP="00D3154B">
      <w:pPr>
        <w:spacing w:line="240" w:lineRule="auto"/>
        <w:rPr>
          <w:rFonts w:ascii="Lato Light" w:hAnsi="Lato Light" w:cstheme="majorHAnsi"/>
          <w:lang w:val="en-US"/>
        </w:rPr>
      </w:pPr>
    </w:p>
    <w:p w14:paraId="00AA9404" w14:textId="6CDF2BBE" w:rsidR="00D3154B" w:rsidRDefault="00153C8C" w:rsidP="00D3154B">
      <w:pPr>
        <w:spacing w:line="240" w:lineRule="auto"/>
        <w:rPr>
          <w:rFonts w:ascii="Lato Light" w:hAnsi="Lato Light" w:cstheme="majorHAnsi"/>
          <w:lang w:val="en-US"/>
        </w:rPr>
      </w:pPr>
      <w:r>
        <w:rPr>
          <w:rFonts w:ascii="Lato Light" w:hAnsi="Lato Light" w:cstheme="majorHAnsi"/>
          <w:lang w:val="en-US"/>
        </w:rPr>
        <w:t xml:space="preserve">See the </w:t>
      </w:r>
      <w:r w:rsidR="00463CC7">
        <w:rPr>
          <w:rFonts w:ascii="Lato Light" w:hAnsi="Lato Light" w:cstheme="majorHAnsi"/>
          <w:lang w:val="en-US"/>
        </w:rPr>
        <w:t xml:space="preserve">IRS </w:t>
      </w:r>
      <w:r>
        <w:rPr>
          <w:rFonts w:ascii="Lato Light" w:hAnsi="Lato Light" w:cstheme="majorHAnsi"/>
          <w:lang w:val="en-US"/>
        </w:rPr>
        <w:t xml:space="preserve">instructions for the B forms for the </w:t>
      </w:r>
      <w:r w:rsidRPr="00F647F8">
        <w:rPr>
          <w:rFonts w:ascii="Lato Light" w:hAnsi="Lato Light" w:cstheme="majorHAnsi"/>
          <w:i/>
          <w:iCs/>
          <w:lang w:val="en-US"/>
        </w:rPr>
        <w:t xml:space="preserve">“Alternative </w:t>
      </w:r>
      <w:r w:rsidR="00F647F8" w:rsidRPr="00F647F8">
        <w:rPr>
          <w:rFonts w:ascii="Lato Light" w:hAnsi="Lato Light" w:cstheme="majorHAnsi"/>
          <w:i/>
          <w:iCs/>
          <w:lang w:val="en-US"/>
        </w:rPr>
        <w:t>M</w:t>
      </w:r>
      <w:r w:rsidRPr="00F647F8">
        <w:rPr>
          <w:rFonts w:ascii="Lato Light" w:hAnsi="Lato Light" w:cstheme="majorHAnsi"/>
          <w:i/>
          <w:iCs/>
          <w:lang w:val="en-US"/>
        </w:rPr>
        <w:t xml:space="preserve">anner of </w:t>
      </w:r>
      <w:r w:rsidR="00F647F8" w:rsidRPr="00F647F8">
        <w:rPr>
          <w:rFonts w:ascii="Lato Light" w:hAnsi="Lato Light" w:cstheme="majorHAnsi"/>
          <w:i/>
          <w:iCs/>
          <w:lang w:val="en-US"/>
        </w:rPr>
        <w:t>F</w:t>
      </w:r>
      <w:r w:rsidRPr="00F647F8">
        <w:rPr>
          <w:rFonts w:ascii="Lato Light" w:hAnsi="Lato Light" w:cstheme="majorHAnsi"/>
          <w:i/>
          <w:iCs/>
          <w:lang w:val="en-US"/>
        </w:rPr>
        <w:t xml:space="preserve">urnishing </w:t>
      </w:r>
      <w:r w:rsidR="00F647F8" w:rsidRPr="00F647F8">
        <w:rPr>
          <w:rFonts w:ascii="Lato Light" w:hAnsi="Lato Light" w:cstheme="majorHAnsi"/>
          <w:i/>
          <w:iCs/>
          <w:lang w:val="en-US"/>
        </w:rPr>
        <w:t>S</w:t>
      </w:r>
      <w:r w:rsidRPr="00F647F8">
        <w:rPr>
          <w:rFonts w:ascii="Lato Light" w:hAnsi="Lato Light" w:cstheme="majorHAnsi"/>
          <w:i/>
          <w:iCs/>
          <w:lang w:val="en-US"/>
        </w:rPr>
        <w:t>tatements”</w:t>
      </w:r>
      <w:r>
        <w:rPr>
          <w:rFonts w:ascii="Lato Light" w:hAnsi="Lato Light" w:cstheme="majorHAnsi"/>
          <w:lang w:val="en-US"/>
        </w:rPr>
        <w:t xml:space="preserve"> for official rules on what to post on the employer’s website.</w:t>
      </w:r>
    </w:p>
    <w:p w14:paraId="15D9618E" w14:textId="77777777" w:rsidR="00153C8C" w:rsidRDefault="00153C8C" w:rsidP="00D3154B">
      <w:pPr>
        <w:spacing w:line="240" w:lineRule="auto"/>
        <w:rPr>
          <w:rFonts w:ascii="Lato Light" w:hAnsi="Lato Light" w:cstheme="majorHAnsi"/>
          <w:lang w:val="en-US"/>
        </w:rPr>
      </w:pPr>
    </w:p>
    <w:p w14:paraId="03ABDE3B" w14:textId="272FC2CF" w:rsidR="00153C8C" w:rsidRDefault="00153C8C" w:rsidP="00D3154B">
      <w:pPr>
        <w:spacing w:line="240" w:lineRule="auto"/>
        <w:rPr>
          <w:rFonts w:ascii="Lato Light" w:hAnsi="Lato Light" w:cstheme="majorHAnsi"/>
          <w:lang w:val="en-US"/>
        </w:rPr>
      </w:pPr>
      <w:r>
        <w:rPr>
          <w:rFonts w:ascii="Lato Light" w:hAnsi="Lato Light" w:cstheme="majorHAnsi"/>
          <w:lang w:val="en-US"/>
        </w:rPr>
        <w:t>The IRS e-filing is required by the end of March.</w:t>
      </w:r>
    </w:p>
    <w:p w14:paraId="3E2E5035" w14:textId="77777777" w:rsidR="00153C8C" w:rsidRDefault="00153C8C" w:rsidP="00D3154B">
      <w:pPr>
        <w:spacing w:line="240" w:lineRule="auto"/>
        <w:rPr>
          <w:rFonts w:ascii="Lato Light" w:hAnsi="Lato Light" w:cstheme="majorHAnsi"/>
          <w:lang w:val="en-US"/>
        </w:rPr>
      </w:pPr>
    </w:p>
    <w:p w14:paraId="2BFD1A73" w14:textId="714B5AE3" w:rsidR="00153C8C" w:rsidRDefault="00463CC7" w:rsidP="00D3154B">
      <w:pPr>
        <w:spacing w:line="240" w:lineRule="auto"/>
        <w:rPr>
          <w:rFonts w:ascii="Lato Light" w:hAnsi="Lato Light" w:cstheme="majorHAnsi"/>
          <w:lang w:val="en-US"/>
        </w:rPr>
      </w:pPr>
      <w:r>
        <w:rPr>
          <w:rFonts w:ascii="Lato Light" w:hAnsi="Lato Light" w:cstheme="majorHAnsi"/>
          <w:lang w:val="en-US"/>
        </w:rPr>
        <w:t xml:space="preserve">Several </w:t>
      </w:r>
      <w:r w:rsidR="00153C8C">
        <w:rPr>
          <w:rFonts w:ascii="Lato Light" w:hAnsi="Lato Light" w:cstheme="majorHAnsi"/>
          <w:lang w:val="en-US"/>
        </w:rPr>
        <w:t>states require these forms and may impose their own deadlines</w:t>
      </w:r>
      <w:r w:rsidR="00F647F8">
        <w:rPr>
          <w:rFonts w:ascii="Lato Light" w:hAnsi="Lato Light" w:cstheme="majorHAnsi"/>
          <w:lang w:val="en-US"/>
        </w:rPr>
        <w:t>:</w:t>
      </w:r>
    </w:p>
    <w:p w14:paraId="10413772" w14:textId="7975F219" w:rsidR="00153C8C" w:rsidRDefault="00153C8C" w:rsidP="00153C8C">
      <w:pPr>
        <w:pStyle w:val="ListParagraph"/>
        <w:numPr>
          <w:ilvl w:val="0"/>
          <w:numId w:val="23"/>
        </w:numPr>
        <w:spacing w:line="240" w:lineRule="auto"/>
        <w:rPr>
          <w:rFonts w:ascii="Lato Light" w:hAnsi="Lato Light" w:cstheme="majorHAnsi"/>
          <w:lang w:val="en-US"/>
        </w:rPr>
      </w:pPr>
      <w:r w:rsidRPr="00153C8C">
        <w:rPr>
          <w:rFonts w:ascii="Lato Light" w:hAnsi="Lato Light" w:cstheme="majorHAnsi"/>
          <w:lang w:val="en-US"/>
        </w:rPr>
        <w:t>As of 2024 reporting due in early 2025, those states are CA, NJ, RI</w:t>
      </w:r>
      <w:r w:rsidR="00F647F8">
        <w:rPr>
          <w:rFonts w:ascii="Lato Light" w:hAnsi="Lato Light" w:cstheme="majorHAnsi"/>
          <w:lang w:val="en-US"/>
        </w:rPr>
        <w:t xml:space="preserve"> and </w:t>
      </w:r>
      <w:r w:rsidRPr="00153C8C">
        <w:rPr>
          <w:rFonts w:ascii="Lato Light" w:hAnsi="Lato Light" w:cstheme="majorHAnsi"/>
          <w:lang w:val="en-US"/>
        </w:rPr>
        <w:t>DC.</w:t>
      </w:r>
    </w:p>
    <w:p w14:paraId="35354DD6" w14:textId="5937CC3B" w:rsidR="00153C8C" w:rsidRDefault="00153C8C" w:rsidP="00153C8C">
      <w:pPr>
        <w:pStyle w:val="ListParagraph"/>
        <w:numPr>
          <w:ilvl w:val="0"/>
          <w:numId w:val="23"/>
        </w:numPr>
        <w:spacing w:line="240" w:lineRule="auto"/>
        <w:rPr>
          <w:rFonts w:ascii="Lato Light" w:hAnsi="Lato Light" w:cstheme="majorHAnsi"/>
          <w:lang w:val="en-US"/>
        </w:rPr>
      </w:pPr>
      <w:r w:rsidRPr="00153C8C">
        <w:rPr>
          <w:rFonts w:ascii="Lato Light" w:hAnsi="Lato Light" w:cstheme="majorHAnsi"/>
          <w:lang w:val="en-US"/>
        </w:rPr>
        <w:t>MA has a similar requirement, but rather than submitting the federal 1094-B/1095-B forms to the</w:t>
      </w:r>
      <w:r>
        <w:rPr>
          <w:rFonts w:ascii="Lato Light" w:hAnsi="Lato Light" w:cstheme="majorHAnsi"/>
          <w:lang w:val="en-US"/>
        </w:rPr>
        <w:t xml:space="preserve"> state</w:t>
      </w:r>
      <w:r w:rsidRPr="00153C8C">
        <w:rPr>
          <w:rFonts w:ascii="Lato Light" w:hAnsi="Lato Light" w:cstheme="majorHAnsi"/>
          <w:lang w:val="en-US"/>
        </w:rPr>
        <w:t>, the employer submits MA 1099-HC forms.</w:t>
      </w:r>
    </w:p>
    <w:p w14:paraId="3A0206D7" w14:textId="773B338B" w:rsidR="00153C8C" w:rsidRPr="00153C8C" w:rsidRDefault="00153C8C" w:rsidP="00153C8C">
      <w:pPr>
        <w:pStyle w:val="ListParagraph"/>
        <w:numPr>
          <w:ilvl w:val="0"/>
          <w:numId w:val="23"/>
        </w:numPr>
        <w:spacing w:line="240" w:lineRule="auto"/>
        <w:rPr>
          <w:rFonts w:ascii="Lato Light" w:hAnsi="Lato Light" w:cstheme="majorHAnsi"/>
          <w:lang w:val="en-US"/>
        </w:rPr>
      </w:pPr>
      <w:r w:rsidRPr="00153C8C">
        <w:rPr>
          <w:rFonts w:ascii="Lato Light" w:hAnsi="Lato Light" w:cstheme="majorHAnsi"/>
          <w:lang w:val="en-US"/>
        </w:rPr>
        <w:lastRenderedPageBreak/>
        <w:t>VT has an individual mandate but does not require employers submit these forms to the state.</w:t>
      </w:r>
    </w:p>
    <w:p w14:paraId="50763FFA" w14:textId="77777777" w:rsidR="00D3154B" w:rsidRPr="00AD3EA2" w:rsidRDefault="00D3154B" w:rsidP="00D3154B">
      <w:pPr>
        <w:spacing w:line="240" w:lineRule="auto"/>
        <w:rPr>
          <w:rFonts w:ascii="Lato Light" w:hAnsi="Lato Light" w:cstheme="majorHAnsi"/>
          <w:lang w:val="en-US"/>
        </w:rPr>
      </w:pPr>
    </w:p>
    <w:p w14:paraId="113A6A81" w14:textId="5AA67991" w:rsidR="001F423C" w:rsidRDefault="001F423C" w:rsidP="00621331">
      <w:pPr>
        <w:spacing w:line="240" w:lineRule="auto"/>
        <w:rPr>
          <w:rFonts w:ascii="Lato Light" w:hAnsi="Lato Light" w:cstheme="majorHAnsi"/>
          <w:b/>
          <w:bCs/>
        </w:rPr>
      </w:pPr>
      <w:r w:rsidRPr="00315692">
        <w:rPr>
          <w:rFonts w:ascii="Lato Light" w:hAnsi="Lato Light" w:cstheme="majorHAnsi"/>
          <w:b/>
          <w:bCs/>
        </w:rPr>
        <w:t>Consequences of Non-</w:t>
      </w:r>
      <w:r w:rsidR="00630C9B">
        <w:rPr>
          <w:rFonts w:ascii="Lato Light" w:hAnsi="Lato Light" w:cstheme="majorHAnsi"/>
          <w:b/>
          <w:bCs/>
        </w:rPr>
        <w:t>C</w:t>
      </w:r>
      <w:r w:rsidRPr="00315692">
        <w:rPr>
          <w:rFonts w:ascii="Lato Light" w:hAnsi="Lato Light" w:cstheme="majorHAnsi"/>
          <w:b/>
          <w:bCs/>
        </w:rPr>
        <w:t>ompliance:</w:t>
      </w:r>
    </w:p>
    <w:p w14:paraId="69C40EC7" w14:textId="77777777" w:rsidR="002F7D30" w:rsidRDefault="002F7D30" w:rsidP="00621331">
      <w:pPr>
        <w:spacing w:line="240" w:lineRule="auto"/>
        <w:rPr>
          <w:rFonts w:ascii="Lato Light" w:hAnsi="Lato Light" w:cstheme="majorHAnsi"/>
          <w:b/>
          <w:bCs/>
        </w:rPr>
      </w:pPr>
    </w:p>
    <w:p w14:paraId="119CF88F" w14:textId="04D91CB6" w:rsidR="002F7D30" w:rsidRDefault="00153C8C" w:rsidP="00621331">
      <w:pPr>
        <w:spacing w:line="240" w:lineRule="auto"/>
        <w:rPr>
          <w:rFonts w:ascii="Lato Light" w:hAnsi="Lato Light" w:cstheme="majorHAnsi"/>
        </w:rPr>
      </w:pPr>
      <w:r>
        <w:rPr>
          <w:rFonts w:ascii="Lato Light" w:hAnsi="Lato Light" w:cstheme="majorHAnsi"/>
        </w:rPr>
        <w:t>Intentionally neglecting to file required ACA forms due in 2025 results in a penalty of $660 per form not provided to enrolled individuals, plus another $660 per form not filed with the IRS.  Both of these penalties can be reduced if the employer takes action to provide complete and accurate forms to individuals and the IRS.</w:t>
      </w:r>
    </w:p>
    <w:p w14:paraId="447B27C5" w14:textId="77777777" w:rsidR="00463CC7" w:rsidRDefault="00463CC7" w:rsidP="00621331">
      <w:pPr>
        <w:spacing w:line="240" w:lineRule="auto"/>
        <w:rPr>
          <w:rFonts w:ascii="Lato Light" w:hAnsi="Lato Light" w:cstheme="majorHAnsi"/>
        </w:rPr>
      </w:pPr>
    </w:p>
    <w:p w14:paraId="4C784262" w14:textId="474998A9" w:rsidR="00153C8C" w:rsidRDefault="00A32F08" w:rsidP="00153C8C">
      <w:pPr>
        <w:pStyle w:val="ListParagraph"/>
        <w:numPr>
          <w:ilvl w:val="0"/>
          <w:numId w:val="24"/>
        </w:numPr>
        <w:spacing w:line="240" w:lineRule="auto"/>
        <w:rPr>
          <w:rFonts w:ascii="Lato Light" w:hAnsi="Lato Light" w:cstheme="majorHAnsi"/>
        </w:rPr>
      </w:pPr>
      <w:r>
        <w:rPr>
          <w:rFonts w:ascii="Lato Light" w:hAnsi="Lato Light" w:cstheme="majorHAnsi"/>
        </w:rPr>
        <w:t>R</w:t>
      </w:r>
      <w:r w:rsidR="00153C8C">
        <w:rPr>
          <w:rFonts w:ascii="Lato Light" w:hAnsi="Lato Light" w:cstheme="majorHAnsi"/>
        </w:rPr>
        <w:t>educed to $330 when complete and accurate forms are provided on/after August 1</w:t>
      </w:r>
      <w:r w:rsidRPr="00A32F08">
        <w:rPr>
          <w:rFonts w:ascii="Lato Light" w:hAnsi="Lato Light" w:cstheme="majorHAnsi"/>
          <w:vertAlign w:val="superscript"/>
        </w:rPr>
        <w:t>st</w:t>
      </w:r>
      <w:r>
        <w:rPr>
          <w:rFonts w:ascii="Lato Light" w:hAnsi="Lato Light" w:cstheme="majorHAnsi"/>
        </w:rPr>
        <w:t>.</w:t>
      </w:r>
    </w:p>
    <w:p w14:paraId="1DA86EF5" w14:textId="314E3543" w:rsidR="00153C8C" w:rsidRDefault="00A32F08" w:rsidP="00153C8C">
      <w:pPr>
        <w:pStyle w:val="ListParagraph"/>
        <w:numPr>
          <w:ilvl w:val="0"/>
          <w:numId w:val="24"/>
        </w:numPr>
        <w:spacing w:line="240" w:lineRule="auto"/>
        <w:rPr>
          <w:rFonts w:ascii="Lato Light" w:hAnsi="Lato Light" w:cstheme="majorHAnsi"/>
        </w:rPr>
      </w:pPr>
      <w:r>
        <w:rPr>
          <w:rFonts w:ascii="Lato Light" w:hAnsi="Lato Light" w:cstheme="majorHAnsi"/>
        </w:rPr>
        <w:t>Re</w:t>
      </w:r>
      <w:r w:rsidR="00153C8C">
        <w:rPr>
          <w:rFonts w:ascii="Lato Light" w:hAnsi="Lato Light" w:cstheme="majorHAnsi"/>
        </w:rPr>
        <w:t xml:space="preserve">duced to $130 when complete and accurate forms are provided 30 days late but before </w:t>
      </w:r>
      <w:r>
        <w:rPr>
          <w:rFonts w:ascii="Lato Light" w:hAnsi="Lato Light" w:cstheme="majorHAnsi"/>
        </w:rPr>
        <w:t xml:space="preserve"> </w:t>
      </w:r>
      <w:r w:rsidR="00153C8C">
        <w:rPr>
          <w:rFonts w:ascii="Lato Light" w:hAnsi="Lato Light" w:cstheme="majorHAnsi"/>
        </w:rPr>
        <w:t>August 1</w:t>
      </w:r>
      <w:r w:rsidRPr="00A32F08">
        <w:rPr>
          <w:rFonts w:ascii="Lato Light" w:hAnsi="Lato Light" w:cstheme="majorHAnsi"/>
          <w:vertAlign w:val="superscript"/>
        </w:rPr>
        <w:t>st</w:t>
      </w:r>
      <w:r>
        <w:rPr>
          <w:rFonts w:ascii="Lato Light" w:hAnsi="Lato Light" w:cstheme="majorHAnsi"/>
        </w:rPr>
        <w:t xml:space="preserve">.  </w:t>
      </w:r>
    </w:p>
    <w:p w14:paraId="34E33028" w14:textId="12A898BB" w:rsidR="00153C8C" w:rsidRPr="00153C8C" w:rsidRDefault="00A32F08" w:rsidP="00153C8C">
      <w:pPr>
        <w:pStyle w:val="ListParagraph"/>
        <w:numPr>
          <w:ilvl w:val="0"/>
          <w:numId w:val="24"/>
        </w:numPr>
        <w:spacing w:line="240" w:lineRule="auto"/>
        <w:rPr>
          <w:rFonts w:ascii="Lato Light" w:hAnsi="Lato Light" w:cstheme="majorHAnsi"/>
        </w:rPr>
      </w:pPr>
      <w:r>
        <w:rPr>
          <w:rFonts w:ascii="Lato Light" w:hAnsi="Lato Light" w:cstheme="majorHAnsi"/>
        </w:rPr>
        <w:t>R</w:t>
      </w:r>
      <w:r w:rsidR="00153C8C">
        <w:rPr>
          <w:rFonts w:ascii="Lato Light" w:hAnsi="Lato Light" w:cstheme="majorHAnsi"/>
        </w:rPr>
        <w:t>educed to $60 when complete and accurate forms are provided within 30 days of when they should have been provided</w:t>
      </w:r>
      <w:r>
        <w:rPr>
          <w:rFonts w:ascii="Lato Light" w:hAnsi="Lato Light" w:cstheme="majorHAnsi"/>
        </w:rPr>
        <w:t>.</w:t>
      </w:r>
    </w:p>
    <w:p w14:paraId="5C1CA987" w14:textId="77777777" w:rsidR="001F423C" w:rsidRPr="00315692" w:rsidRDefault="001F423C" w:rsidP="00621331">
      <w:pPr>
        <w:spacing w:line="240" w:lineRule="auto"/>
        <w:rPr>
          <w:rFonts w:ascii="Lato Light" w:hAnsi="Lato Light" w:cstheme="majorHAnsi"/>
          <w:b/>
          <w:bCs/>
        </w:rPr>
      </w:pPr>
    </w:p>
    <w:p w14:paraId="4BD91335" w14:textId="6071D3CD" w:rsidR="001F423C" w:rsidRPr="00315692" w:rsidRDefault="001F423C" w:rsidP="00621331">
      <w:pPr>
        <w:spacing w:line="240" w:lineRule="auto"/>
        <w:rPr>
          <w:rFonts w:ascii="Lato Light" w:hAnsi="Lato Light" w:cstheme="majorHAnsi"/>
          <w:b/>
          <w:bCs/>
        </w:rPr>
      </w:pPr>
      <w:r w:rsidRPr="00315692">
        <w:rPr>
          <w:rFonts w:ascii="Lato Light" w:hAnsi="Lato Light" w:cstheme="majorHAnsi"/>
          <w:b/>
          <w:bCs/>
        </w:rPr>
        <w:t>Practical Implications for Employers:</w:t>
      </w:r>
    </w:p>
    <w:p w14:paraId="00000010" w14:textId="77777777" w:rsidR="0001489F" w:rsidRPr="00315692" w:rsidRDefault="0001489F" w:rsidP="00621331">
      <w:pPr>
        <w:spacing w:line="240" w:lineRule="auto"/>
        <w:rPr>
          <w:rFonts w:ascii="Lato Light" w:hAnsi="Lato Light" w:cstheme="majorHAnsi"/>
        </w:rPr>
      </w:pPr>
    </w:p>
    <w:p w14:paraId="043473C1" w14:textId="7BB08018" w:rsidR="007A112D" w:rsidRPr="00315692" w:rsidRDefault="00A32F08" w:rsidP="00055E48">
      <w:pPr>
        <w:spacing w:line="240" w:lineRule="auto"/>
        <w:rPr>
          <w:rFonts w:ascii="Lato Light" w:hAnsi="Lato Light" w:cstheme="majorHAnsi"/>
        </w:rPr>
      </w:pPr>
      <w:r>
        <w:rPr>
          <w:rFonts w:ascii="Lato Light" w:hAnsi="Lato Light" w:cstheme="majorHAnsi"/>
        </w:rPr>
        <w:t>T</w:t>
      </w:r>
      <w:r>
        <w:rPr>
          <w:rFonts w:ascii="Lato Light" w:hAnsi="Lato Light" w:cstheme="majorHAnsi"/>
        </w:rPr>
        <w:t>oward the end of the calendar year</w:t>
      </w:r>
      <w:r>
        <w:rPr>
          <w:rFonts w:ascii="Lato Light" w:hAnsi="Lato Light" w:cstheme="majorHAnsi"/>
        </w:rPr>
        <w:t>,</w:t>
      </w:r>
      <w:r>
        <w:rPr>
          <w:rFonts w:ascii="Lato Light" w:hAnsi="Lato Light" w:cstheme="majorHAnsi"/>
        </w:rPr>
        <w:t xml:space="preserve"> </w:t>
      </w:r>
      <w:r>
        <w:rPr>
          <w:rFonts w:ascii="Lato Light" w:hAnsi="Lato Light" w:cstheme="majorHAnsi"/>
        </w:rPr>
        <w:t>n</w:t>
      </w:r>
      <w:r w:rsidR="00D3154B">
        <w:rPr>
          <w:rFonts w:ascii="Lato Light" w:hAnsi="Lato Light" w:cstheme="majorHAnsi"/>
        </w:rPr>
        <w:t xml:space="preserve">on-ALEs with </w:t>
      </w:r>
      <w:r w:rsidR="00463CC7">
        <w:rPr>
          <w:rFonts w:ascii="Lato Light" w:hAnsi="Lato Light" w:cstheme="majorHAnsi"/>
        </w:rPr>
        <w:t xml:space="preserve">self-funded or </w:t>
      </w:r>
      <w:r w:rsidR="00D3154B">
        <w:rPr>
          <w:rFonts w:ascii="Lato Light" w:hAnsi="Lato Light" w:cstheme="majorHAnsi"/>
        </w:rPr>
        <w:t xml:space="preserve">level-funded </w:t>
      </w:r>
      <w:r w:rsidR="00463CC7">
        <w:rPr>
          <w:rFonts w:ascii="Lato Light" w:hAnsi="Lato Light" w:cstheme="majorHAnsi"/>
        </w:rPr>
        <w:t xml:space="preserve">health plans </w:t>
      </w:r>
      <w:r w:rsidR="00D3154B">
        <w:rPr>
          <w:rFonts w:ascii="Lato Light" w:hAnsi="Lato Light" w:cstheme="majorHAnsi"/>
        </w:rPr>
        <w:t>or ICHRA plans should identify their preferred technology partner who will help facilitate this ACA reporting requirement in January</w:t>
      </w:r>
      <w:r w:rsidR="00940A20">
        <w:rPr>
          <w:rFonts w:ascii="Lato Light" w:hAnsi="Lato Light" w:cstheme="majorHAnsi"/>
        </w:rPr>
        <w:t>.</w:t>
      </w:r>
      <w:r w:rsidR="00D3154B">
        <w:rPr>
          <w:rFonts w:ascii="Lato Light" w:hAnsi="Lato Light" w:cstheme="majorHAnsi"/>
        </w:rPr>
        <w:t xml:space="preserve">  While the forms are straightforward, the electronic AIR system is not, and the XML file can take time to understand before the employer can audit the contents of it for accuracy.  </w:t>
      </w:r>
      <w:r w:rsidR="00463CC7">
        <w:rPr>
          <w:rFonts w:ascii="Lato Light" w:hAnsi="Lato Light" w:cstheme="majorHAnsi"/>
        </w:rPr>
        <w:t>In addition</w:t>
      </w:r>
      <w:r w:rsidR="00D3154B">
        <w:rPr>
          <w:rFonts w:ascii="Lato Light" w:hAnsi="Lato Light" w:cstheme="majorHAnsi"/>
        </w:rPr>
        <w:t xml:space="preserve">, some states require </w:t>
      </w:r>
      <w:r w:rsidR="00463CC7">
        <w:rPr>
          <w:rFonts w:ascii="Lato Light" w:hAnsi="Lato Light" w:cstheme="majorHAnsi"/>
        </w:rPr>
        <w:t>submission of state filings</w:t>
      </w:r>
      <w:r w:rsidR="00D3154B">
        <w:rPr>
          <w:rFonts w:ascii="Lato Light" w:hAnsi="Lato Light" w:cstheme="majorHAnsi"/>
        </w:rPr>
        <w:t xml:space="preserve"> at different deadlines than </w:t>
      </w:r>
      <w:r w:rsidR="00463CC7">
        <w:rPr>
          <w:rFonts w:ascii="Lato Light" w:hAnsi="Lato Light" w:cstheme="majorHAnsi"/>
        </w:rPr>
        <w:t>deadlines imposed by the IRS</w:t>
      </w:r>
      <w:r w:rsidR="00D3154B">
        <w:rPr>
          <w:rFonts w:ascii="Lato Light" w:hAnsi="Lato Light" w:cstheme="majorHAnsi"/>
        </w:rPr>
        <w:t>.</w:t>
      </w:r>
    </w:p>
    <w:sectPr w:rsidR="007A112D" w:rsidRPr="00315692" w:rsidSect="00315692">
      <w:headerReference w:type="default" r:id="rId11"/>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6992" w14:textId="77777777" w:rsidR="00750090" w:rsidRDefault="00750090" w:rsidP="005A4439">
      <w:pPr>
        <w:spacing w:line="240" w:lineRule="auto"/>
      </w:pPr>
      <w:r>
        <w:separator/>
      </w:r>
    </w:p>
  </w:endnote>
  <w:endnote w:type="continuationSeparator" w:id="0">
    <w:p w14:paraId="718BC15A" w14:textId="77777777" w:rsidR="00750090" w:rsidRDefault="00750090" w:rsidP="005A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8AB3" w14:textId="77777777" w:rsidR="00750090" w:rsidRDefault="00750090" w:rsidP="005A4439">
      <w:pPr>
        <w:spacing w:line="240" w:lineRule="auto"/>
      </w:pPr>
      <w:r>
        <w:separator/>
      </w:r>
    </w:p>
  </w:footnote>
  <w:footnote w:type="continuationSeparator" w:id="0">
    <w:p w14:paraId="1B5452FC" w14:textId="77777777" w:rsidR="00750090" w:rsidRDefault="00750090" w:rsidP="005A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0660" w14:textId="6F62FF50" w:rsidR="005A4439" w:rsidRPr="001F423C" w:rsidRDefault="005B04D9" w:rsidP="00315692">
    <w:pPr>
      <w:rPr>
        <w:rFonts w:ascii="Calibri" w:hAnsi="Calibri" w:cs="Calibri"/>
        <w:b/>
        <w:sz w:val="28"/>
        <w:szCs w:val="28"/>
      </w:rPr>
    </w:pPr>
    <w:r>
      <w:rPr>
        <w:noProof/>
      </w:rPr>
      <w:drawing>
        <wp:inline distT="0" distB="0" distL="0" distR="0" wp14:anchorId="65D015A1" wp14:editId="7ADAA9EF">
          <wp:extent cx="1628140" cy="661670"/>
          <wp:effectExtent l="0" t="0" r="0" b="5080"/>
          <wp:docPr id="873937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7297"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814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F64"/>
    <w:multiLevelType w:val="multilevel"/>
    <w:tmpl w:val="EC7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5632"/>
    <w:multiLevelType w:val="hybridMultilevel"/>
    <w:tmpl w:val="10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62B"/>
    <w:multiLevelType w:val="multilevel"/>
    <w:tmpl w:val="6128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A3712"/>
    <w:multiLevelType w:val="multilevel"/>
    <w:tmpl w:val="284C2FE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637A7"/>
    <w:multiLevelType w:val="hybridMultilevel"/>
    <w:tmpl w:val="C56A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15B"/>
    <w:multiLevelType w:val="multilevel"/>
    <w:tmpl w:val="A8569214"/>
    <w:lvl w:ilvl="0">
      <w:start w:val="1"/>
      <w:numFmt w:val="bullet"/>
      <w:lvlText w:val="●"/>
      <w:lvlJc w:val="left"/>
      <w:pPr>
        <w:ind w:left="720" w:hanging="360"/>
      </w:pPr>
      <w:rPr>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E62A6"/>
    <w:multiLevelType w:val="hybridMultilevel"/>
    <w:tmpl w:val="F9C493C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142D"/>
    <w:multiLevelType w:val="hybridMultilevel"/>
    <w:tmpl w:val="C3DE9DE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73E"/>
    <w:multiLevelType w:val="hybridMultilevel"/>
    <w:tmpl w:val="6A247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60E3B"/>
    <w:multiLevelType w:val="hybridMultilevel"/>
    <w:tmpl w:val="C8E22D4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31790"/>
    <w:multiLevelType w:val="hybridMultilevel"/>
    <w:tmpl w:val="375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B4E19"/>
    <w:multiLevelType w:val="multilevel"/>
    <w:tmpl w:val="D97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3364F"/>
    <w:multiLevelType w:val="hybridMultilevel"/>
    <w:tmpl w:val="616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A7D28"/>
    <w:multiLevelType w:val="hybridMultilevel"/>
    <w:tmpl w:val="38904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B19A9"/>
    <w:multiLevelType w:val="hybridMultilevel"/>
    <w:tmpl w:val="2BE4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E3709"/>
    <w:multiLevelType w:val="hybridMultilevel"/>
    <w:tmpl w:val="C56A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6A1B2E"/>
    <w:multiLevelType w:val="multilevel"/>
    <w:tmpl w:val="F5A0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3B309A"/>
    <w:multiLevelType w:val="multilevel"/>
    <w:tmpl w:val="8898A8EC"/>
    <w:lvl w:ilvl="0">
      <w:start w:val="1"/>
      <w:numFmt w:val="bullet"/>
      <w:lvlText w:val=""/>
      <w:lvlJc w:val="left"/>
      <w:pPr>
        <w:ind w:left="720" w:hanging="360"/>
      </w:pPr>
      <w:rPr>
        <w:rFonts w:ascii="Wingdings" w:hAnsi="Wingdings" w:hint="default"/>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BE5D0B"/>
    <w:multiLevelType w:val="multilevel"/>
    <w:tmpl w:val="2794C0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A17DEF"/>
    <w:multiLevelType w:val="hybridMultilevel"/>
    <w:tmpl w:val="E14A925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4B7211"/>
    <w:multiLevelType w:val="multilevel"/>
    <w:tmpl w:val="E808323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26804"/>
    <w:multiLevelType w:val="hybridMultilevel"/>
    <w:tmpl w:val="DAC42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A0D49"/>
    <w:multiLevelType w:val="multilevel"/>
    <w:tmpl w:val="C61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33767E"/>
    <w:multiLevelType w:val="hybridMultilevel"/>
    <w:tmpl w:val="25688816"/>
    <w:lvl w:ilvl="0" w:tplc="0DB8A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E4386"/>
    <w:multiLevelType w:val="multilevel"/>
    <w:tmpl w:val="62E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580984">
    <w:abstractNumId w:val="11"/>
  </w:num>
  <w:num w:numId="2" w16cid:durableId="1440952817">
    <w:abstractNumId w:val="18"/>
  </w:num>
  <w:num w:numId="3" w16cid:durableId="952438708">
    <w:abstractNumId w:val="22"/>
  </w:num>
  <w:num w:numId="4" w16cid:durableId="191656106">
    <w:abstractNumId w:val="1"/>
  </w:num>
  <w:num w:numId="5" w16cid:durableId="1681813447">
    <w:abstractNumId w:val="23"/>
  </w:num>
  <w:num w:numId="6" w16cid:durableId="1637567862">
    <w:abstractNumId w:val="4"/>
  </w:num>
  <w:num w:numId="7" w16cid:durableId="515462194">
    <w:abstractNumId w:val="15"/>
  </w:num>
  <w:num w:numId="8" w16cid:durableId="244992502">
    <w:abstractNumId w:val="10"/>
  </w:num>
  <w:num w:numId="9" w16cid:durableId="743258463">
    <w:abstractNumId w:val="14"/>
  </w:num>
  <w:num w:numId="10" w16cid:durableId="672486813">
    <w:abstractNumId w:val="7"/>
  </w:num>
  <w:num w:numId="11" w16cid:durableId="1184242015">
    <w:abstractNumId w:val="5"/>
  </w:num>
  <w:num w:numId="12" w16cid:durableId="887184819">
    <w:abstractNumId w:val="16"/>
  </w:num>
  <w:num w:numId="13" w16cid:durableId="1843661974">
    <w:abstractNumId w:val="3"/>
  </w:num>
  <w:num w:numId="14" w16cid:durableId="1992051868">
    <w:abstractNumId w:val="13"/>
  </w:num>
  <w:num w:numId="15" w16cid:durableId="1219170210">
    <w:abstractNumId w:val="20"/>
  </w:num>
  <w:num w:numId="16" w16cid:durableId="242882409">
    <w:abstractNumId w:val="17"/>
  </w:num>
  <w:num w:numId="17" w16cid:durableId="955253311">
    <w:abstractNumId w:val="24"/>
  </w:num>
  <w:num w:numId="18" w16cid:durableId="280654435">
    <w:abstractNumId w:val="2"/>
  </w:num>
  <w:num w:numId="19" w16cid:durableId="366299461">
    <w:abstractNumId w:val="0"/>
  </w:num>
  <w:num w:numId="20" w16cid:durableId="973560432">
    <w:abstractNumId w:val="12"/>
  </w:num>
  <w:num w:numId="21" w16cid:durableId="2069375779">
    <w:abstractNumId w:val="6"/>
  </w:num>
  <w:num w:numId="22" w16cid:durableId="2093041869">
    <w:abstractNumId w:val="9"/>
  </w:num>
  <w:num w:numId="23" w16cid:durableId="1054505549">
    <w:abstractNumId w:val="8"/>
  </w:num>
  <w:num w:numId="24" w16cid:durableId="106236930">
    <w:abstractNumId w:val="21"/>
  </w:num>
  <w:num w:numId="25" w16cid:durableId="459960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9F"/>
    <w:rsid w:val="00005C05"/>
    <w:rsid w:val="0001489F"/>
    <w:rsid w:val="00026685"/>
    <w:rsid w:val="00027D83"/>
    <w:rsid w:val="00055E48"/>
    <w:rsid w:val="0006201D"/>
    <w:rsid w:val="000D6740"/>
    <w:rsid w:val="000F24A8"/>
    <w:rsid w:val="000F39E4"/>
    <w:rsid w:val="001017A6"/>
    <w:rsid w:val="00112CDF"/>
    <w:rsid w:val="00142B5A"/>
    <w:rsid w:val="00153C8C"/>
    <w:rsid w:val="0017297A"/>
    <w:rsid w:val="001F423C"/>
    <w:rsid w:val="001F5E90"/>
    <w:rsid w:val="00243BAC"/>
    <w:rsid w:val="00246B3C"/>
    <w:rsid w:val="00260A87"/>
    <w:rsid w:val="0026522A"/>
    <w:rsid w:val="00287D0A"/>
    <w:rsid w:val="002A1822"/>
    <w:rsid w:val="002A7BDF"/>
    <w:rsid w:val="002A7F61"/>
    <w:rsid w:val="002E0606"/>
    <w:rsid w:val="002F7D30"/>
    <w:rsid w:val="00307364"/>
    <w:rsid w:val="00315692"/>
    <w:rsid w:val="003C0400"/>
    <w:rsid w:val="003C50B9"/>
    <w:rsid w:val="003D1808"/>
    <w:rsid w:val="003E6776"/>
    <w:rsid w:val="0040317E"/>
    <w:rsid w:val="0043184F"/>
    <w:rsid w:val="00433C3C"/>
    <w:rsid w:val="00462954"/>
    <w:rsid w:val="00463CC7"/>
    <w:rsid w:val="00486CA7"/>
    <w:rsid w:val="00486D7D"/>
    <w:rsid w:val="004960B9"/>
    <w:rsid w:val="004E51A8"/>
    <w:rsid w:val="004E5CDB"/>
    <w:rsid w:val="004F3519"/>
    <w:rsid w:val="005329C6"/>
    <w:rsid w:val="00572699"/>
    <w:rsid w:val="005A4439"/>
    <w:rsid w:val="005B04D9"/>
    <w:rsid w:val="005B336F"/>
    <w:rsid w:val="005D35A5"/>
    <w:rsid w:val="005F0883"/>
    <w:rsid w:val="00603B6D"/>
    <w:rsid w:val="00616C4B"/>
    <w:rsid w:val="00621331"/>
    <w:rsid w:val="00630C9B"/>
    <w:rsid w:val="006429E3"/>
    <w:rsid w:val="00680EC9"/>
    <w:rsid w:val="00696F24"/>
    <w:rsid w:val="006D1381"/>
    <w:rsid w:val="00715E9E"/>
    <w:rsid w:val="00716CB4"/>
    <w:rsid w:val="00736C5E"/>
    <w:rsid w:val="00737B24"/>
    <w:rsid w:val="00750090"/>
    <w:rsid w:val="00751B1E"/>
    <w:rsid w:val="007A112D"/>
    <w:rsid w:val="007C57F5"/>
    <w:rsid w:val="007D5227"/>
    <w:rsid w:val="007E0488"/>
    <w:rsid w:val="007F5507"/>
    <w:rsid w:val="008646AA"/>
    <w:rsid w:val="008F1513"/>
    <w:rsid w:val="009174A3"/>
    <w:rsid w:val="00926B1E"/>
    <w:rsid w:val="00927E7F"/>
    <w:rsid w:val="00940A20"/>
    <w:rsid w:val="00983EDC"/>
    <w:rsid w:val="009A39FF"/>
    <w:rsid w:val="009D443E"/>
    <w:rsid w:val="00A2694A"/>
    <w:rsid w:val="00A32F08"/>
    <w:rsid w:val="00A34C27"/>
    <w:rsid w:val="00A54A51"/>
    <w:rsid w:val="00A55C78"/>
    <w:rsid w:val="00A57A24"/>
    <w:rsid w:val="00A70067"/>
    <w:rsid w:val="00AD3EA2"/>
    <w:rsid w:val="00B23DDA"/>
    <w:rsid w:val="00B5628F"/>
    <w:rsid w:val="00BA06D8"/>
    <w:rsid w:val="00C342B0"/>
    <w:rsid w:val="00C5131E"/>
    <w:rsid w:val="00C9480E"/>
    <w:rsid w:val="00CA109F"/>
    <w:rsid w:val="00CB43AE"/>
    <w:rsid w:val="00CD2B20"/>
    <w:rsid w:val="00CD3682"/>
    <w:rsid w:val="00CF5297"/>
    <w:rsid w:val="00D14589"/>
    <w:rsid w:val="00D3154B"/>
    <w:rsid w:val="00D333E4"/>
    <w:rsid w:val="00D35A6F"/>
    <w:rsid w:val="00D60D16"/>
    <w:rsid w:val="00D84FAB"/>
    <w:rsid w:val="00D904B6"/>
    <w:rsid w:val="00D97F35"/>
    <w:rsid w:val="00DA18CA"/>
    <w:rsid w:val="00DB11A8"/>
    <w:rsid w:val="00DB32D3"/>
    <w:rsid w:val="00DB677B"/>
    <w:rsid w:val="00DE091A"/>
    <w:rsid w:val="00DF5DA8"/>
    <w:rsid w:val="00E17AAE"/>
    <w:rsid w:val="00E26AD8"/>
    <w:rsid w:val="00E329FB"/>
    <w:rsid w:val="00E330A9"/>
    <w:rsid w:val="00E54E89"/>
    <w:rsid w:val="00E75B4F"/>
    <w:rsid w:val="00EA5EA2"/>
    <w:rsid w:val="00EC2F69"/>
    <w:rsid w:val="00EF3614"/>
    <w:rsid w:val="00F40B31"/>
    <w:rsid w:val="00F53EDA"/>
    <w:rsid w:val="00F647F8"/>
    <w:rsid w:val="00FB2432"/>
    <w:rsid w:val="00FE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C60"/>
  <w15:docId w15:val="{B8FC7F4D-FD94-42E5-9E14-EE205232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4439"/>
    <w:pPr>
      <w:tabs>
        <w:tab w:val="center" w:pos="4680"/>
        <w:tab w:val="right" w:pos="9360"/>
      </w:tabs>
      <w:spacing w:line="240" w:lineRule="auto"/>
    </w:pPr>
  </w:style>
  <w:style w:type="character" w:customStyle="1" w:styleId="HeaderChar">
    <w:name w:val="Header Char"/>
    <w:basedOn w:val="DefaultParagraphFont"/>
    <w:link w:val="Header"/>
    <w:uiPriority w:val="99"/>
    <w:rsid w:val="005A4439"/>
  </w:style>
  <w:style w:type="paragraph" w:styleId="Footer">
    <w:name w:val="footer"/>
    <w:basedOn w:val="Normal"/>
    <w:link w:val="FooterChar"/>
    <w:uiPriority w:val="99"/>
    <w:unhideWhenUsed/>
    <w:rsid w:val="005A4439"/>
    <w:pPr>
      <w:tabs>
        <w:tab w:val="center" w:pos="4680"/>
        <w:tab w:val="right" w:pos="9360"/>
      </w:tabs>
      <w:spacing w:line="240" w:lineRule="auto"/>
    </w:pPr>
  </w:style>
  <w:style w:type="character" w:customStyle="1" w:styleId="FooterChar">
    <w:name w:val="Footer Char"/>
    <w:basedOn w:val="DefaultParagraphFont"/>
    <w:link w:val="Footer"/>
    <w:uiPriority w:val="99"/>
    <w:rsid w:val="005A4439"/>
  </w:style>
  <w:style w:type="paragraph" w:styleId="ListParagraph">
    <w:name w:val="List Paragraph"/>
    <w:basedOn w:val="Normal"/>
    <w:uiPriority w:val="34"/>
    <w:qFormat/>
    <w:rsid w:val="00E75B4F"/>
    <w:pPr>
      <w:ind w:left="720"/>
      <w:contextualSpacing/>
    </w:pPr>
  </w:style>
  <w:style w:type="character" w:styleId="Hyperlink">
    <w:name w:val="Hyperlink"/>
    <w:basedOn w:val="DefaultParagraphFont"/>
    <w:uiPriority w:val="99"/>
    <w:unhideWhenUsed/>
    <w:rsid w:val="001F423C"/>
    <w:rPr>
      <w:color w:val="0000FF" w:themeColor="hyperlink"/>
      <w:u w:val="single"/>
    </w:rPr>
  </w:style>
  <w:style w:type="character" w:styleId="UnresolvedMention">
    <w:name w:val="Unresolved Mention"/>
    <w:basedOn w:val="DefaultParagraphFont"/>
    <w:uiPriority w:val="99"/>
    <w:semiHidden/>
    <w:unhideWhenUsed/>
    <w:rsid w:val="001F423C"/>
    <w:rPr>
      <w:color w:val="605E5C"/>
      <w:shd w:val="clear" w:color="auto" w:fill="E1DFDD"/>
    </w:rPr>
  </w:style>
  <w:style w:type="character" w:styleId="FollowedHyperlink">
    <w:name w:val="FollowedHyperlink"/>
    <w:basedOn w:val="DefaultParagraphFont"/>
    <w:uiPriority w:val="99"/>
    <w:semiHidden/>
    <w:unhideWhenUsed/>
    <w:rsid w:val="00C342B0"/>
    <w:rPr>
      <w:color w:val="800080" w:themeColor="followedHyperlink"/>
      <w:u w:val="single"/>
    </w:rPr>
  </w:style>
  <w:style w:type="paragraph" w:styleId="Revision">
    <w:name w:val="Revision"/>
    <w:hidden/>
    <w:uiPriority w:val="99"/>
    <w:semiHidden/>
    <w:rsid w:val="00B23DDA"/>
    <w:pPr>
      <w:spacing w:line="240" w:lineRule="auto"/>
    </w:pPr>
  </w:style>
  <w:style w:type="character" w:styleId="CommentReference">
    <w:name w:val="annotation reference"/>
    <w:basedOn w:val="DefaultParagraphFont"/>
    <w:uiPriority w:val="99"/>
    <w:semiHidden/>
    <w:unhideWhenUsed/>
    <w:rsid w:val="00B23DDA"/>
    <w:rPr>
      <w:sz w:val="16"/>
      <w:szCs w:val="16"/>
    </w:rPr>
  </w:style>
  <w:style w:type="paragraph" w:styleId="CommentText">
    <w:name w:val="annotation text"/>
    <w:basedOn w:val="Normal"/>
    <w:link w:val="CommentTextChar"/>
    <w:uiPriority w:val="99"/>
    <w:unhideWhenUsed/>
    <w:rsid w:val="00B23DDA"/>
    <w:pPr>
      <w:spacing w:line="240" w:lineRule="auto"/>
    </w:pPr>
    <w:rPr>
      <w:sz w:val="20"/>
      <w:szCs w:val="20"/>
    </w:rPr>
  </w:style>
  <w:style w:type="character" w:customStyle="1" w:styleId="CommentTextChar">
    <w:name w:val="Comment Text Char"/>
    <w:basedOn w:val="DefaultParagraphFont"/>
    <w:link w:val="CommentText"/>
    <w:uiPriority w:val="99"/>
    <w:rsid w:val="00B23DDA"/>
    <w:rPr>
      <w:sz w:val="20"/>
      <w:szCs w:val="20"/>
    </w:rPr>
  </w:style>
  <w:style w:type="paragraph" w:styleId="CommentSubject">
    <w:name w:val="annotation subject"/>
    <w:basedOn w:val="CommentText"/>
    <w:next w:val="CommentText"/>
    <w:link w:val="CommentSubjectChar"/>
    <w:uiPriority w:val="99"/>
    <w:semiHidden/>
    <w:unhideWhenUsed/>
    <w:rsid w:val="00B23DDA"/>
    <w:rPr>
      <w:b/>
      <w:bCs/>
    </w:rPr>
  </w:style>
  <w:style w:type="character" w:customStyle="1" w:styleId="CommentSubjectChar">
    <w:name w:val="Comment Subject Char"/>
    <w:basedOn w:val="CommentTextChar"/>
    <w:link w:val="CommentSubject"/>
    <w:uiPriority w:val="99"/>
    <w:semiHidden/>
    <w:rsid w:val="00B23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75">
      <w:bodyDiv w:val="1"/>
      <w:marLeft w:val="0"/>
      <w:marRight w:val="0"/>
      <w:marTop w:val="0"/>
      <w:marBottom w:val="0"/>
      <w:divBdr>
        <w:top w:val="none" w:sz="0" w:space="0" w:color="auto"/>
        <w:left w:val="none" w:sz="0" w:space="0" w:color="auto"/>
        <w:bottom w:val="none" w:sz="0" w:space="0" w:color="auto"/>
        <w:right w:val="none" w:sz="0" w:space="0" w:color="auto"/>
      </w:divBdr>
      <w:divsChild>
        <w:div w:id="1921523808">
          <w:marLeft w:val="0"/>
          <w:marRight w:val="0"/>
          <w:marTop w:val="0"/>
          <w:marBottom w:val="0"/>
          <w:divBdr>
            <w:top w:val="none" w:sz="0" w:space="0" w:color="auto"/>
            <w:left w:val="none" w:sz="0" w:space="0" w:color="auto"/>
            <w:bottom w:val="none" w:sz="0" w:space="0" w:color="auto"/>
            <w:right w:val="none" w:sz="0" w:space="0" w:color="auto"/>
          </w:divBdr>
        </w:div>
        <w:div w:id="37709357">
          <w:marLeft w:val="0"/>
          <w:marRight w:val="0"/>
          <w:marTop w:val="0"/>
          <w:marBottom w:val="0"/>
          <w:divBdr>
            <w:top w:val="none" w:sz="0" w:space="0" w:color="auto"/>
            <w:left w:val="none" w:sz="0" w:space="0" w:color="auto"/>
            <w:bottom w:val="none" w:sz="0" w:space="0" w:color="auto"/>
            <w:right w:val="none" w:sz="0" w:space="0" w:color="auto"/>
          </w:divBdr>
        </w:div>
      </w:divsChild>
    </w:div>
    <w:div w:id="1030762010">
      <w:bodyDiv w:val="1"/>
      <w:marLeft w:val="0"/>
      <w:marRight w:val="0"/>
      <w:marTop w:val="0"/>
      <w:marBottom w:val="0"/>
      <w:divBdr>
        <w:top w:val="none" w:sz="0" w:space="0" w:color="auto"/>
        <w:left w:val="none" w:sz="0" w:space="0" w:color="auto"/>
        <w:bottom w:val="none" w:sz="0" w:space="0" w:color="auto"/>
        <w:right w:val="none" w:sz="0" w:space="0" w:color="auto"/>
      </w:divBdr>
    </w:div>
    <w:div w:id="1100225089">
      <w:bodyDiv w:val="1"/>
      <w:marLeft w:val="0"/>
      <w:marRight w:val="0"/>
      <w:marTop w:val="0"/>
      <w:marBottom w:val="0"/>
      <w:divBdr>
        <w:top w:val="none" w:sz="0" w:space="0" w:color="auto"/>
        <w:left w:val="none" w:sz="0" w:space="0" w:color="auto"/>
        <w:bottom w:val="none" w:sz="0" w:space="0" w:color="auto"/>
        <w:right w:val="none" w:sz="0" w:space="0" w:color="auto"/>
      </w:divBdr>
      <w:divsChild>
        <w:div w:id="2072998133">
          <w:marLeft w:val="0"/>
          <w:marRight w:val="0"/>
          <w:marTop w:val="0"/>
          <w:marBottom w:val="0"/>
          <w:divBdr>
            <w:top w:val="none" w:sz="0" w:space="0" w:color="auto"/>
            <w:left w:val="none" w:sz="0" w:space="0" w:color="auto"/>
            <w:bottom w:val="none" w:sz="0" w:space="0" w:color="auto"/>
            <w:right w:val="none" w:sz="0" w:space="0" w:color="auto"/>
          </w:divBdr>
        </w:div>
        <w:div w:id="579021149">
          <w:marLeft w:val="0"/>
          <w:marRight w:val="0"/>
          <w:marTop w:val="0"/>
          <w:marBottom w:val="0"/>
          <w:divBdr>
            <w:top w:val="none" w:sz="0" w:space="0" w:color="auto"/>
            <w:left w:val="none" w:sz="0" w:space="0" w:color="auto"/>
            <w:bottom w:val="none" w:sz="0" w:space="0" w:color="auto"/>
            <w:right w:val="none" w:sz="0" w:space="0" w:color="auto"/>
          </w:divBdr>
        </w:div>
        <w:div w:id="1836719830">
          <w:marLeft w:val="0"/>
          <w:marRight w:val="0"/>
          <w:marTop w:val="0"/>
          <w:marBottom w:val="0"/>
          <w:divBdr>
            <w:top w:val="none" w:sz="0" w:space="0" w:color="auto"/>
            <w:left w:val="none" w:sz="0" w:space="0" w:color="auto"/>
            <w:bottom w:val="none" w:sz="0" w:space="0" w:color="auto"/>
            <w:right w:val="none" w:sz="0" w:space="0" w:color="auto"/>
          </w:divBdr>
        </w:div>
        <w:div w:id="1738287243">
          <w:marLeft w:val="0"/>
          <w:marRight w:val="0"/>
          <w:marTop w:val="0"/>
          <w:marBottom w:val="0"/>
          <w:divBdr>
            <w:top w:val="none" w:sz="0" w:space="0" w:color="auto"/>
            <w:left w:val="none" w:sz="0" w:space="0" w:color="auto"/>
            <w:bottom w:val="none" w:sz="0" w:space="0" w:color="auto"/>
            <w:right w:val="none" w:sz="0" w:space="0" w:color="auto"/>
          </w:divBdr>
          <w:divsChild>
            <w:div w:id="34354673">
              <w:marLeft w:val="0"/>
              <w:marRight w:val="0"/>
              <w:marTop w:val="0"/>
              <w:marBottom w:val="0"/>
              <w:divBdr>
                <w:top w:val="none" w:sz="0" w:space="0" w:color="auto"/>
                <w:left w:val="none" w:sz="0" w:space="0" w:color="auto"/>
                <w:bottom w:val="none" w:sz="0" w:space="0" w:color="auto"/>
                <w:right w:val="none" w:sz="0" w:space="0" w:color="auto"/>
              </w:divBdr>
            </w:div>
          </w:divsChild>
        </w:div>
        <w:div w:id="1957904607">
          <w:marLeft w:val="0"/>
          <w:marRight w:val="0"/>
          <w:marTop w:val="0"/>
          <w:marBottom w:val="0"/>
          <w:divBdr>
            <w:top w:val="none" w:sz="0" w:space="0" w:color="auto"/>
            <w:left w:val="none" w:sz="0" w:space="0" w:color="auto"/>
            <w:bottom w:val="none" w:sz="0" w:space="0" w:color="auto"/>
            <w:right w:val="none" w:sz="0" w:space="0" w:color="auto"/>
          </w:divBdr>
        </w:div>
      </w:divsChild>
    </w:div>
    <w:div w:id="1671517139">
      <w:bodyDiv w:val="1"/>
      <w:marLeft w:val="0"/>
      <w:marRight w:val="0"/>
      <w:marTop w:val="0"/>
      <w:marBottom w:val="0"/>
      <w:divBdr>
        <w:top w:val="none" w:sz="0" w:space="0" w:color="auto"/>
        <w:left w:val="none" w:sz="0" w:space="0" w:color="auto"/>
        <w:bottom w:val="none" w:sz="0" w:space="0" w:color="auto"/>
        <w:right w:val="none" w:sz="0" w:space="0" w:color="auto"/>
      </w:divBdr>
      <w:divsChild>
        <w:div w:id="1548026727">
          <w:marLeft w:val="0"/>
          <w:marRight w:val="0"/>
          <w:marTop w:val="0"/>
          <w:marBottom w:val="0"/>
          <w:divBdr>
            <w:top w:val="none" w:sz="0" w:space="0" w:color="auto"/>
            <w:left w:val="none" w:sz="0" w:space="0" w:color="auto"/>
            <w:bottom w:val="none" w:sz="0" w:space="0" w:color="auto"/>
            <w:right w:val="none" w:sz="0" w:space="0" w:color="auto"/>
          </w:divBdr>
        </w:div>
        <w:div w:id="1671718459">
          <w:marLeft w:val="0"/>
          <w:marRight w:val="0"/>
          <w:marTop w:val="0"/>
          <w:marBottom w:val="0"/>
          <w:divBdr>
            <w:top w:val="none" w:sz="0" w:space="0" w:color="auto"/>
            <w:left w:val="none" w:sz="0" w:space="0" w:color="auto"/>
            <w:bottom w:val="none" w:sz="0" w:space="0" w:color="auto"/>
            <w:right w:val="none" w:sz="0" w:space="0" w:color="auto"/>
          </w:divBdr>
        </w:div>
        <w:div w:id="483013752">
          <w:marLeft w:val="0"/>
          <w:marRight w:val="0"/>
          <w:marTop w:val="0"/>
          <w:marBottom w:val="0"/>
          <w:divBdr>
            <w:top w:val="none" w:sz="0" w:space="0" w:color="auto"/>
            <w:left w:val="none" w:sz="0" w:space="0" w:color="auto"/>
            <w:bottom w:val="none" w:sz="0" w:space="0" w:color="auto"/>
            <w:right w:val="none" w:sz="0" w:space="0" w:color="auto"/>
          </w:divBdr>
        </w:div>
        <w:div w:id="1822572900">
          <w:marLeft w:val="0"/>
          <w:marRight w:val="0"/>
          <w:marTop w:val="0"/>
          <w:marBottom w:val="0"/>
          <w:divBdr>
            <w:top w:val="none" w:sz="0" w:space="0" w:color="auto"/>
            <w:left w:val="none" w:sz="0" w:space="0" w:color="auto"/>
            <w:bottom w:val="none" w:sz="0" w:space="0" w:color="auto"/>
            <w:right w:val="none" w:sz="0" w:space="0" w:color="auto"/>
          </w:divBdr>
          <w:divsChild>
            <w:div w:id="2137720592">
              <w:marLeft w:val="0"/>
              <w:marRight w:val="0"/>
              <w:marTop w:val="0"/>
              <w:marBottom w:val="0"/>
              <w:divBdr>
                <w:top w:val="none" w:sz="0" w:space="0" w:color="auto"/>
                <w:left w:val="none" w:sz="0" w:space="0" w:color="auto"/>
                <w:bottom w:val="none" w:sz="0" w:space="0" w:color="auto"/>
                <w:right w:val="none" w:sz="0" w:space="0" w:color="auto"/>
              </w:divBdr>
            </w:div>
          </w:divsChild>
        </w:div>
        <w:div w:id="6205718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1095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instructions/i109495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rs.gov/pub/irs-pdf/f1094b.pdf" TargetMode="External"/><Relationship Id="rId4" Type="http://schemas.openxmlformats.org/officeDocument/2006/relationships/webSettings" Target="webSettings.xml"/><Relationship Id="rId9" Type="http://schemas.openxmlformats.org/officeDocument/2006/relationships/hyperlink" Target="https://www.irs.gov/affordable-care-act/questions-and-answers-about-reporting-social-security-numbers-to-your-health-insurance-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2575</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Rippstein</dc:creator>
  <cp:lastModifiedBy>Holly Soule</cp:lastModifiedBy>
  <cp:revision>8</cp:revision>
  <dcterms:created xsi:type="dcterms:W3CDTF">2024-12-05T14:06:00Z</dcterms:created>
  <dcterms:modified xsi:type="dcterms:W3CDTF">2024-12-09T18:57:00Z</dcterms:modified>
</cp:coreProperties>
</file>