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74CDE" w14:textId="5DE766A3" w:rsidR="001F423C" w:rsidRPr="00315692" w:rsidRDefault="00356EAD" w:rsidP="00621331">
      <w:pPr>
        <w:pStyle w:val="Title"/>
        <w:spacing w:after="0" w:line="240" w:lineRule="auto"/>
        <w:jc w:val="center"/>
        <w:rPr>
          <w:rFonts w:ascii="Lato Light" w:hAnsi="Lato Light" w:cs="Calibri"/>
          <w:b/>
          <w:bCs/>
          <w:sz w:val="22"/>
          <w:szCs w:val="22"/>
        </w:rPr>
      </w:pPr>
      <w:r>
        <w:rPr>
          <w:rFonts w:ascii="Lato Light" w:hAnsi="Lato Light" w:cs="Calibri"/>
          <w:b/>
          <w:bCs/>
          <w:sz w:val="22"/>
          <w:szCs w:val="22"/>
        </w:rPr>
        <w:t>ELECTRONIC DISTRIBUTION SAFE HARBOR</w:t>
      </w:r>
    </w:p>
    <w:p w14:paraId="2B7E2450" w14:textId="77777777" w:rsidR="001F423C" w:rsidRPr="00315692" w:rsidRDefault="001F423C" w:rsidP="00621331">
      <w:pPr>
        <w:pStyle w:val="Title"/>
        <w:spacing w:after="0" w:line="240" w:lineRule="auto"/>
        <w:rPr>
          <w:rFonts w:ascii="Lato Light" w:hAnsi="Lato Light" w:cs="Calibri"/>
          <w:b/>
          <w:bCs/>
          <w:sz w:val="22"/>
          <w:szCs w:val="22"/>
        </w:rPr>
      </w:pPr>
    </w:p>
    <w:p w14:paraId="6CA5289B" w14:textId="41E9980E" w:rsidR="00C9480E" w:rsidRPr="00C9480E" w:rsidRDefault="00983EDC" w:rsidP="00C9480E">
      <w:pPr>
        <w:spacing w:line="240" w:lineRule="auto"/>
        <w:rPr>
          <w:rFonts w:ascii="Lato Light" w:hAnsi="Lato Light" w:cstheme="majorHAnsi"/>
        </w:rPr>
      </w:pPr>
      <w:r w:rsidRPr="00C9480E">
        <w:rPr>
          <w:rFonts w:ascii="Lato Light" w:hAnsi="Lato Light" w:cstheme="majorHAnsi"/>
          <w:b/>
          <w:bCs/>
        </w:rPr>
        <w:t>Overview</w:t>
      </w:r>
      <w:r>
        <w:rPr>
          <w:rFonts w:ascii="Lato Light" w:hAnsi="Lato Light" w:cstheme="majorHAnsi"/>
        </w:rPr>
        <w:t>:</w:t>
      </w:r>
      <w:r w:rsidR="00D97F35">
        <w:rPr>
          <w:rFonts w:ascii="Lato Light" w:hAnsi="Lato Light" w:cstheme="majorHAnsi"/>
        </w:rPr>
        <w:t xml:space="preserve">  </w:t>
      </w:r>
      <w:r w:rsidR="00CD2B20" w:rsidRPr="00CD2B20">
        <w:rPr>
          <w:rFonts w:ascii="Lato Light" w:hAnsi="Lato Light" w:cstheme="majorHAnsi"/>
        </w:rPr>
        <w:t xml:space="preserve">An employer </w:t>
      </w:r>
      <w:r w:rsidR="00356EAD">
        <w:rPr>
          <w:rFonts w:ascii="Lato Light" w:hAnsi="Lato Light" w:cstheme="majorHAnsi"/>
        </w:rPr>
        <w:t>is generally permitted to provide important documents and notices electronically to employees under the DOL electronic disclosure safe harbor rules</w:t>
      </w:r>
      <w:r w:rsidR="00CD2B20" w:rsidRPr="00CD2B20">
        <w:rPr>
          <w:rFonts w:ascii="Lato Light" w:hAnsi="Lato Light" w:cstheme="majorHAnsi"/>
        </w:rPr>
        <w:t xml:space="preserve">. </w:t>
      </w:r>
      <w:r w:rsidR="00356EAD" w:rsidRPr="00356EAD">
        <w:rPr>
          <w:rFonts w:ascii="Lato Light" w:hAnsi="Lato Light" w:cstheme="majorHAnsi"/>
        </w:rPr>
        <w:t xml:space="preserve">The DOL safe harbor </w:t>
      </w:r>
      <w:r w:rsidR="003B011F">
        <w:rPr>
          <w:rFonts w:ascii="Lato Light" w:hAnsi="Lato Light" w:cstheme="majorHAnsi"/>
        </w:rPr>
        <w:t>gives</w:t>
      </w:r>
      <w:r w:rsidR="00356EAD" w:rsidRPr="00356EAD">
        <w:rPr>
          <w:rFonts w:ascii="Lato Light" w:hAnsi="Lato Light" w:cstheme="majorHAnsi"/>
        </w:rPr>
        <w:t xml:space="preserve"> certain circumstances where ERISA plans may disclose documents electronically, including the Summary Plan Description (SPD). Under this safe harbor, plan administrators must use a method reasonably calculated to ensure actual receipt of the</w:t>
      </w:r>
      <w:r w:rsidR="00356EAD">
        <w:rPr>
          <w:rFonts w:ascii="Lato Light" w:hAnsi="Lato Light" w:cstheme="majorHAnsi"/>
        </w:rPr>
        <w:t xml:space="preserve"> document. </w:t>
      </w:r>
    </w:p>
    <w:p w14:paraId="632FBF1C" w14:textId="77777777" w:rsidR="00315692" w:rsidRDefault="00315692" w:rsidP="00621331">
      <w:pPr>
        <w:spacing w:line="240" w:lineRule="auto"/>
        <w:rPr>
          <w:rFonts w:ascii="Lato Light" w:hAnsi="Lato Light" w:cstheme="majorHAnsi"/>
          <w:b/>
          <w:bCs/>
        </w:rPr>
      </w:pPr>
    </w:p>
    <w:p w14:paraId="7961EE63" w14:textId="1DB00819" w:rsidR="00C9480E" w:rsidRDefault="001F423C" w:rsidP="002E0606">
      <w:pPr>
        <w:spacing w:line="240" w:lineRule="auto"/>
        <w:rPr>
          <w:rFonts w:ascii="Lato Light" w:hAnsi="Lato Light" w:cstheme="majorHAnsi"/>
        </w:rPr>
      </w:pPr>
      <w:r w:rsidRPr="00315692">
        <w:rPr>
          <w:rFonts w:ascii="Lato Light" w:hAnsi="Lato Light" w:cstheme="majorHAnsi"/>
          <w:b/>
          <w:bCs/>
        </w:rPr>
        <w:t xml:space="preserve">Applies </w:t>
      </w:r>
      <w:r w:rsidR="005A1F93">
        <w:rPr>
          <w:rFonts w:ascii="Lato Light" w:hAnsi="Lato Light" w:cstheme="majorHAnsi"/>
          <w:b/>
          <w:bCs/>
        </w:rPr>
        <w:t>T</w:t>
      </w:r>
      <w:r w:rsidRPr="00315692">
        <w:rPr>
          <w:rFonts w:ascii="Lato Light" w:hAnsi="Lato Light" w:cstheme="majorHAnsi"/>
          <w:b/>
          <w:bCs/>
        </w:rPr>
        <w:t>o:</w:t>
      </w:r>
      <w:r w:rsidR="00680EC9">
        <w:rPr>
          <w:rFonts w:ascii="Lato Light" w:hAnsi="Lato Light" w:cstheme="majorHAnsi"/>
          <w:b/>
          <w:bCs/>
        </w:rPr>
        <w:t xml:space="preserve">  </w:t>
      </w:r>
    </w:p>
    <w:p w14:paraId="30D586DE" w14:textId="77777777" w:rsidR="00CD2B20" w:rsidRPr="00CD2B20" w:rsidRDefault="00CD2B20" w:rsidP="00CD2B20">
      <w:pPr>
        <w:numPr>
          <w:ilvl w:val="0"/>
          <w:numId w:val="16"/>
        </w:numPr>
        <w:spacing w:line="240" w:lineRule="auto"/>
        <w:rPr>
          <w:rFonts w:ascii="Lato Light" w:hAnsi="Lato Light" w:cstheme="majorHAnsi"/>
        </w:rPr>
      </w:pPr>
      <w:r w:rsidRPr="00CD2B20">
        <w:rPr>
          <w:rFonts w:ascii="Lato Light" w:hAnsi="Lato Light" w:cstheme="majorHAnsi"/>
        </w:rPr>
        <w:t>Large employers with fully-insured and self-funded health plans</w:t>
      </w:r>
    </w:p>
    <w:p w14:paraId="632F8386" w14:textId="0FBB8631" w:rsidR="00CD2B20" w:rsidRPr="00CD2B20" w:rsidRDefault="00CD2B20" w:rsidP="002E0606">
      <w:pPr>
        <w:numPr>
          <w:ilvl w:val="0"/>
          <w:numId w:val="16"/>
        </w:numPr>
        <w:spacing w:line="240" w:lineRule="auto"/>
        <w:rPr>
          <w:rFonts w:ascii="Lato Light" w:hAnsi="Lato Light" w:cstheme="majorHAnsi"/>
        </w:rPr>
      </w:pPr>
      <w:r w:rsidRPr="00CD2B20">
        <w:rPr>
          <w:rFonts w:ascii="Lato Light" w:hAnsi="Lato Light" w:cstheme="majorHAnsi"/>
        </w:rPr>
        <w:t>Small employers with fully-insured and level-funded health plans</w:t>
      </w:r>
    </w:p>
    <w:p w14:paraId="14561E34" w14:textId="77777777" w:rsidR="001F423C" w:rsidRPr="00315692" w:rsidRDefault="001F423C" w:rsidP="00621331">
      <w:pPr>
        <w:spacing w:line="240" w:lineRule="auto"/>
        <w:rPr>
          <w:rFonts w:ascii="Lato Light" w:hAnsi="Lato Light" w:cstheme="majorHAnsi"/>
          <w:b/>
          <w:bCs/>
        </w:rPr>
      </w:pPr>
    </w:p>
    <w:p w14:paraId="0000000F" w14:textId="33E7FFED" w:rsidR="0001489F" w:rsidRPr="00315692" w:rsidRDefault="001F423C" w:rsidP="00621331">
      <w:pPr>
        <w:spacing w:line="240" w:lineRule="auto"/>
        <w:rPr>
          <w:rFonts w:ascii="Lato Light" w:hAnsi="Lato Light" w:cstheme="majorHAnsi"/>
          <w:b/>
          <w:bCs/>
        </w:rPr>
      </w:pPr>
      <w:r w:rsidRPr="00315692">
        <w:rPr>
          <w:rFonts w:ascii="Lato Light" w:hAnsi="Lato Light" w:cstheme="majorHAnsi"/>
          <w:b/>
          <w:bCs/>
        </w:rPr>
        <w:t>Go Deeper</w:t>
      </w:r>
      <w:r w:rsidR="005B04D9" w:rsidRPr="00315692">
        <w:rPr>
          <w:rFonts w:ascii="Lato Light" w:hAnsi="Lato Light" w:cstheme="majorHAnsi"/>
          <w:b/>
          <w:bCs/>
        </w:rPr>
        <w:t xml:space="preserve">: </w:t>
      </w:r>
    </w:p>
    <w:p w14:paraId="0EA6C316" w14:textId="04C25149" w:rsidR="00AD3EA2" w:rsidRDefault="003D1808" w:rsidP="00AD3EA2">
      <w:pPr>
        <w:spacing w:line="240" w:lineRule="auto"/>
        <w:rPr>
          <w:rFonts w:ascii="Lato Light" w:hAnsi="Lato Light" w:cstheme="majorHAnsi"/>
        </w:rPr>
      </w:pPr>
      <w:r w:rsidRPr="003D1808">
        <w:rPr>
          <w:rFonts w:ascii="Lato Light" w:hAnsi="Lato Light" w:cstheme="majorHAnsi"/>
        </w:rPr>
        <w:t xml:space="preserve">The DOL safe harbor describes </w:t>
      </w:r>
      <w:r w:rsidR="00CA5506">
        <w:rPr>
          <w:rFonts w:ascii="Lato Light" w:hAnsi="Lato Light" w:cstheme="majorHAnsi"/>
        </w:rPr>
        <w:t>conditions</w:t>
      </w:r>
      <w:r w:rsidRPr="003D1808">
        <w:rPr>
          <w:rFonts w:ascii="Lato Light" w:hAnsi="Lato Light" w:cstheme="majorHAnsi"/>
        </w:rPr>
        <w:t xml:space="preserve"> where ERISA plans may </w:t>
      </w:r>
      <w:r w:rsidR="003B011F">
        <w:rPr>
          <w:rFonts w:ascii="Lato Light" w:hAnsi="Lato Light" w:cstheme="majorHAnsi"/>
        </w:rPr>
        <w:t>provide</w:t>
      </w:r>
      <w:r w:rsidRPr="003D1808">
        <w:rPr>
          <w:rFonts w:ascii="Lato Light" w:hAnsi="Lato Light" w:cstheme="majorHAnsi"/>
        </w:rPr>
        <w:t xml:space="preserve"> documents electronically, including</w:t>
      </w:r>
      <w:r w:rsidR="003B011F">
        <w:rPr>
          <w:rFonts w:ascii="Lato Light" w:hAnsi="Lato Light" w:cstheme="majorHAnsi"/>
        </w:rPr>
        <w:t xml:space="preserve"> most </w:t>
      </w:r>
      <w:r>
        <w:rPr>
          <w:rFonts w:ascii="Lato Light" w:hAnsi="Lato Light" w:cstheme="majorHAnsi"/>
        </w:rPr>
        <w:t>notices</w:t>
      </w:r>
      <w:r w:rsidR="003B011F">
        <w:rPr>
          <w:rFonts w:ascii="Lato Light" w:hAnsi="Lato Light" w:cstheme="majorHAnsi"/>
        </w:rPr>
        <w:t xml:space="preserve"> (e.g., Summary of Benefits and Coverage, Medicare Part D, Special Enrollment Rights, CHIP, etc.) </w:t>
      </w:r>
      <w:r>
        <w:rPr>
          <w:rFonts w:ascii="Lato Light" w:hAnsi="Lato Light" w:cstheme="majorHAnsi"/>
        </w:rPr>
        <w:t xml:space="preserve"> and the</w:t>
      </w:r>
      <w:r w:rsidRPr="003D1808">
        <w:rPr>
          <w:rFonts w:ascii="Lato Light" w:hAnsi="Lato Light" w:cstheme="majorHAnsi"/>
        </w:rPr>
        <w:t xml:space="preserve"> </w:t>
      </w:r>
      <w:r w:rsidR="00CA5506">
        <w:rPr>
          <w:rFonts w:ascii="Lato Light" w:hAnsi="Lato Light" w:cstheme="majorHAnsi"/>
        </w:rPr>
        <w:t xml:space="preserve">“wrap” </w:t>
      </w:r>
      <w:r w:rsidRPr="003D1808">
        <w:rPr>
          <w:rFonts w:ascii="Lato Light" w:hAnsi="Lato Light" w:cstheme="majorHAnsi"/>
        </w:rPr>
        <w:t xml:space="preserve">Summary Plan Description (SPD). Under this safe harbor, plan administrators must use a method reasonably calculated to ensure actual receipt of the </w:t>
      </w:r>
      <w:r w:rsidR="00CA5506">
        <w:rPr>
          <w:rFonts w:ascii="Lato Light" w:hAnsi="Lato Light" w:cstheme="majorHAnsi"/>
        </w:rPr>
        <w:t>notice or document</w:t>
      </w:r>
      <w:r w:rsidRPr="003D1808">
        <w:rPr>
          <w:rFonts w:ascii="Lato Light" w:hAnsi="Lato Light" w:cstheme="majorHAnsi"/>
        </w:rPr>
        <w:t>. For example, the administrator could use a read-receipt, notice of undelivered e-mail or run periodic reviews to confirm receipt of any transmitted information.</w:t>
      </w:r>
    </w:p>
    <w:p w14:paraId="1E12356A" w14:textId="77777777" w:rsidR="003D1808" w:rsidRDefault="003D1808" w:rsidP="00AD3EA2">
      <w:pPr>
        <w:spacing w:line="240" w:lineRule="auto"/>
        <w:rPr>
          <w:rFonts w:ascii="Lato Light" w:hAnsi="Lato Light" w:cstheme="majorHAnsi"/>
        </w:rPr>
      </w:pPr>
    </w:p>
    <w:p w14:paraId="2C2AD02E" w14:textId="77777777" w:rsidR="003D1808" w:rsidRDefault="003D1808" w:rsidP="003D1808">
      <w:pPr>
        <w:spacing w:line="240" w:lineRule="auto"/>
        <w:rPr>
          <w:rFonts w:ascii="Lato Light" w:hAnsi="Lato Light" w:cstheme="majorHAnsi"/>
          <w:lang w:val="en-US"/>
        </w:rPr>
      </w:pPr>
      <w:r w:rsidRPr="003D1808">
        <w:rPr>
          <w:rFonts w:ascii="Lato Light" w:hAnsi="Lato Light" w:cstheme="majorHAnsi"/>
          <w:lang w:val="en-US"/>
        </w:rPr>
        <w:t>The rules identify two categories of employees when determining whether electronic distribution is appropriate:</w:t>
      </w:r>
    </w:p>
    <w:p w14:paraId="435D2480" w14:textId="77777777" w:rsidR="003D1808" w:rsidRPr="003D1808" w:rsidRDefault="003D1808" w:rsidP="003D1808">
      <w:pPr>
        <w:spacing w:line="240" w:lineRule="auto"/>
        <w:rPr>
          <w:rFonts w:ascii="Lato Light" w:hAnsi="Lato Light" w:cstheme="majorHAnsi"/>
          <w:lang w:val="en-US"/>
        </w:rPr>
      </w:pPr>
    </w:p>
    <w:p w14:paraId="583ADBE1" w14:textId="4B3DAB62" w:rsidR="00E71171" w:rsidRDefault="00E71171" w:rsidP="00E71171">
      <w:pPr>
        <w:spacing w:line="240" w:lineRule="auto"/>
        <w:ind w:left="360"/>
        <w:rPr>
          <w:rFonts w:ascii="Lato Light" w:hAnsi="Lato Light" w:cstheme="majorHAnsi"/>
          <w:lang w:val="en-US"/>
        </w:rPr>
      </w:pPr>
      <w:r w:rsidRPr="005A1F93">
        <w:rPr>
          <w:rFonts w:ascii="Lato Light" w:hAnsi="Lato Light" w:cstheme="majorHAnsi"/>
          <w:b/>
          <w:bCs/>
          <w:lang w:val="en-US"/>
        </w:rPr>
        <w:t>Category 1</w:t>
      </w:r>
      <w:r>
        <w:rPr>
          <w:rFonts w:ascii="Lato Light" w:hAnsi="Lato Light" w:cstheme="majorHAnsi"/>
          <w:lang w:val="en-US"/>
        </w:rPr>
        <w:t xml:space="preserve">: </w:t>
      </w:r>
      <w:r w:rsidR="003D1808" w:rsidRPr="003D1808">
        <w:rPr>
          <w:rFonts w:ascii="Lato Light" w:hAnsi="Lato Light" w:cstheme="majorHAnsi"/>
          <w:lang w:val="en-US"/>
        </w:rPr>
        <w:t>Participants with work-related computer access as an integral part of their employment duties</w:t>
      </w:r>
      <w:r w:rsidR="00F12390">
        <w:rPr>
          <w:rFonts w:ascii="Lato Light" w:hAnsi="Lato Light" w:cstheme="majorHAnsi"/>
          <w:lang w:val="en-US"/>
        </w:rPr>
        <w:t>*</w:t>
      </w:r>
      <w:r w:rsidR="005A1F93">
        <w:rPr>
          <w:rFonts w:ascii="Lato Light" w:hAnsi="Lato Light" w:cstheme="majorHAnsi"/>
          <w:lang w:val="en-US"/>
        </w:rPr>
        <w:t>;</w:t>
      </w:r>
      <w:r w:rsidR="003D1808" w:rsidRPr="003D1808">
        <w:rPr>
          <w:rFonts w:ascii="Lato Light" w:hAnsi="Lato Light" w:cstheme="majorHAnsi"/>
          <w:lang w:val="en-US"/>
        </w:rPr>
        <w:t xml:space="preserve"> </w:t>
      </w:r>
      <w:r>
        <w:rPr>
          <w:rFonts w:ascii="Lato Light" w:hAnsi="Lato Light" w:cstheme="majorHAnsi"/>
          <w:lang w:val="en-US"/>
        </w:rPr>
        <w:t>or</w:t>
      </w:r>
    </w:p>
    <w:p w14:paraId="01814590" w14:textId="693CB00D" w:rsidR="003D1808" w:rsidRPr="003D1808" w:rsidRDefault="003D1808" w:rsidP="00E71171">
      <w:pPr>
        <w:spacing w:line="240" w:lineRule="auto"/>
        <w:ind w:left="360"/>
        <w:rPr>
          <w:rFonts w:ascii="Lato Light" w:hAnsi="Lato Light" w:cstheme="majorHAnsi"/>
          <w:lang w:val="en-US"/>
        </w:rPr>
      </w:pPr>
      <w:r w:rsidRPr="003D1808">
        <w:rPr>
          <w:rFonts w:ascii="Lato Light" w:hAnsi="Lato Light" w:cstheme="majorHAnsi"/>
          <w:lang w:val="en-US"/>
        </w:rPr>
        <w:t> </w:t>
      </w:r>
    </w:p>
    <w:p w14:paraId="5756586A" w14:textId="4A819BA4" w:rsidR="003D1808" w:rsidRDefault="00E71171" w:rsidP="00E71171">
      <w:pPr>
        <w:spacing w:line="240" w:lineRule="auto"/>
        <w:ind w:left="360"/>
        <w:rPr>
          <w:rFonts w:ascii="Lato Light" w:hAnsi="Lato Light" w:cstheme="majorHAnsi"/>
          <w:lang w:val="en-US"/>
        </w:rPr>
      </w:pPr>
      <w:r w:rsidRPr="005A1F93">
        <w:rPr>
          <w:rFonts w:ascii="Lato Light" w:hAnsi="Lato Light" w:cstheme="majorHAnsi"/>
          <w:b/>
          <w:bCs/>
          <w:lang w:val="en-US"/>
        </w:rPr>
        <w:t>Category 2</w:t>
      </w:r>
      <w:r>
        <w:rPr>
          <w:rFonts w:ascii="Lato Light" w:hAnsi="Lato Light" w:cstheme="majorHAnsi"/>
          <w:lang w:val="en-US"/>
        </w:rPr>
        <w:t xml:space="preserve">: </w:t>
      </w:r>
      <w:r w:rsidR="003D1808" w:rsidRPr="003D1808">
        <w:rPr>
          <w:rFonts w:ascii="Lato Light" w:hAnsi="Lato Light" w:cstheme="majorHAnsi"/>
          <w:lang w:val="en-US"/>
        </w:rPr>
        <w:t>Participants with no work-related computer access, but who affirmatively consent to receive documents electronically.</w:t>
      </w:r>
    </w:p>
    <w:p w14:paraId="4BC1AE89" w14:textId="77777777" w:rsidR="00FB169A" w:rsidRDefault="00FB169A" w:rsidP="00E71171">
      <w:pPr>
        <w:spacing w:line="240" w:lineRule="auto"/>
        <w:ind w:left="360"/>
        <w:rPr>
          <w:rFonts w:ascii="Lato Light" w:hAnsi="Lato Light" w:cstheme="majorHAnsi"/>
          <w:lang w:val="en-US"/>
        </w:rPr>
      </w:pPr>
    </w:p>
    <w:p w14:paraId="35548BCB" w14:textId="56082412" w:rsidR="00FB169A" w:rsidRPr="00FB169A" w:rsidRDefault="00F12390" w:rsidP="00FB169A">
      <w:pPr>
        <w:spacing w:line="240" w:lineRule="auto"/>
        <w:rPr>
          <w:rFonts w:ascii="Lato Light" w:hAnsi="Lato Light" w:cstheme="majorHAnsi"/>
          <w:i/>
          <w:iCs/>
          <w:lang w:val="en-US"/>
        </w:rPr>
      </w:pPr>
      <w:r>
        <w:rPr>
          <w:rFonts w:ascii="Lato Light" w:hAnsi="Lato Light" w:cstheme="majorHAnsi"/>
          <w:i/>
          <w:iCs/>
        </w:rPr>
        <w:t>*</w:t>
      </w:r>
      <w:r w:rsidR="00FB169A" w:rsidRPr="00FB169A">
        <w:rPr>
          <w:rFonts w:ascii="Lato Light" w:hAnsi="Lato Light" w:cstheme="majorHAnsi"/>
          <w:i/>
          <w:iCs/>
        </w:rPr>
        <w:t>Note</w:t>
      </w:r>
      <w:r w:rsidR="005A1F93">
        <w:rPr>
          <w:rFonts w:ascii="Lato Light" w:hAnsi="Lato Light" w:cstheme="majorHAnsi"/>
          <w:i/>
          <w:iCs/>
        </w:rPr>
        <w:t>,</w:t>
      </w:r>
      <w:r w:rsidR="00FB169A" w:rsidRPr="00FB169A">
        <w:rPr>
          <w:rFonts w:ascii="Lato Light" w:hAnsi="Lato Light" w:cstheme="majorHAnsi"/>
          <w:i/>
          <w:iCs/>
        </w:rPr>
        <w:t xml:space="preserve"> the first </w:t>
      </w:r>
      <w:r w:rsidR="00FA7CD4">
        <w:rPr>
          <w:rFonts w:ascii="Lato Light" w:hAnsi="Lato Light" w:cstheme="majorHAnsi"/>
          <w:i/>
          <w:iCs/>
        </w:rPr>
        <w:t>category</w:t>
      </w:r>
      <w:r w:rsidR="00FB169A" w:rsidRPr="00FB169A">
        <w:rPr>
          <w:rFonts w:ascii="Lato Light" w:hAnsi="Lato Light" w:cstheme="majorHAnsi"/>
          <w:i/>
          <w:iCs/>
        </w:rPr>
        <w:t xml:space="preserve"> would not necessarily include employees who have access to a computer station</w:t>
      </w:r>
      <w:r w:rsidR="00FA7CD4">
        <w:rPr>
          <w:rFonts w:ascii="Lato Light" w:hAnsi="Lato Light" w:cstheme="majorHAnsi"/>
          <w:i/>
          <w:iCs/>
        </w:rPr>
        <w:t>/kiosk</w:t>
      </w:r>
      <w:r w:rsidR="00FB169A" w:rsidRPr="00FB169A">
        <w:rPr>
          <w:rFonts w:ascii="Lato Light" w:hAnsi="Lato Light" w:cstheme="majorHAnsi"/>
          <w:i/>
          <w:iCs/>
        </w:rPr>
        <w:t xml:space="preserve"> or who</w:t>
      </w:r>
      <w:r w:rsidR="005A1F93">
        <w:rPr>
          <w:rFonts w:ascii="Lato Light" w:hAnsi="Lato Light" w:cstheme="majorHAnsi"/>
          <w:i/>
          <w:iCs/>
        </w:rPr>
        <w:t xml:space="preserve"> have </w:t>
      </w:r>
      <w:r w:rsidR="00FB169A" w:rsidRPr="00FB169A">
        <w:rPr>
          <w:rFonts w:ascii="Lato Light" w:hAnsi="Lato Light" w:cstheme="majorHAnsi"/>
          <w:i/>
          <w:iCs/>
        </w:rPr>
        <w:t>been given a company-issued email</w:t>
      </w:r>
      <w:r w:rsidR="00FA7CD4">
        <w:rPr>
          <w:rFonts w:ascii="Lato Light" w:hAnsi="Lato Light" w:cstheme="majorHAnsi"/>
          <w:i/>
          <w:iCs/>
        </w:rPr>
        <w:t xml:space="preserve"> or access to an HRIS platform</w:t>
      </w:r>
      <w:r w:rsidR="00FB169A" w:rsidRPr="00FB169A">
        <w:rPr>
          <w:rFonts w:ascii="Lato Light" w:hAnsi="Lato Light" w:cstheme="majorHAnsi"/>
          <w:i/>
          <w:iCs/>
        </w:rPr>
        <w:t>. Instead, these employees must be able to access electronic documents at a location where they usually work</w:t>
      </w:r>
      <w:r>
        <w:rPr>
          <w:rFonts w:ascii="Lato Light" w:hAnsi="Lato Light" w:cstheme="majorHAnsi"/>
          <w:i/>
          <w:iCs/>
        </w:rPr>
        <w:t>,</w:t>
      </w:r>
      <w:r w:rsidR="00B360F9">
        <w:rPr>
          <w:rFonts w:ascii="Lato Light" w:hAnsi="Lato Light" w:cstheme="majorHAnsi"/>
          <w:i/>
          <w:iCs/>
        </w:rPr>
        <w:t xml:space="preserve"> and the electronic system is an integral part of their employment duties</w:t>
      </w:r>
      <w:r w:rsidR="00FB169A" w:rsidRPr="00FB169A">
        <w:rPr>
          <w:rFonts w:ascii="Lato Light" w:hAnsi="Lato Light" w:cstheme="majorHAnsi"/>
          <w:i/>
          <w:iCs/>
        </w:rPr>
        <w:t>. Therefore, the employer needs to</w:t>
      </w:r>
      <w:r w:rsidR="00FA7CD4">
        <w:rPr>
          <w:rFonts w:ascii="Lato Light" w:hAnsi="Lato Light" w:cstheme="majorHAnsi"/>
          <w:i/>
          <w:iCs/>
        </w:rPr>
        <w:t xml:space="preserve"> carefully review</w:t>
      </w:r>
      <w:r w:rsidR="00FB169A" w:rsidRPr="00FB169A">
        <w:rPr>
          <w:rFonts w:ascii="Lato Light" w:hAnsi="Lato Light" w:cstheme="majorHAnsi"/>
          <w:i/>
          <w:iCs/>
        </w:rPr>
        <w:t xml:space="preserve"> the nature of their employees’ duties and determine </w:t>
      </w:r>
      <w:r w:rsidR="00FA7CD4">
        <w:rPr>
          <w:rFonts w:ascii="Lato Light" w:hAnsi="Lato Light" w:cstheme="majorHAnsi"/>
          <w:i/>
          <w:iCs/>
        </w:rPr>
        <w:t xml:space="preserve">into </w:t>
      </w:r>
      <w:r w:rsidR="00FB169A" w:rsidRPr="00FB169A">
        <w:rPr>
          <w:rFonts w:ascii="Lato Light" w:hAnsi="Lato Light" w:cstheme="majorHAnsi"/>
          <w:i/>
          <w:iCs/>
        </w:rPr>
        <w:t xml:space="preserve">which category </w:t>
      </w:r>
      <w:r>
        <w:rPr>
          <w:rFonts w:ascii="Lato Light" w:hAnsi="Lato Light" w:cstheme="majorHAnsi"/>
          <w:i/>
          <w:iCs/>
        </w:rPr>
        <w:t>employees</w:t>
      </w:r>
      <w:r w:rsidR="00FB169A" w:rsidRPr="00FB169A">
        <w:rPr>
          <w:rFonts w:ascii="Lato Light" w:hAnsi="Lato Light" w:cstheme="majorHAnsi"/>
          <w:i/>
          <w:iCs/>
        </w:rPr>
        <w:t xml:space="preserve"> fit.</w:t>
      </w:r>
    </w:p>
    <w:p w14:paraId="44150F75" w14:textId="77777777" w:rsidR="0026522A" w:rsidRPr="00FB169A" w:rsidRDefault="0026522A" w:rsidP="0026522A">
      <w:pPr>
        <w:spacing w:line="240" w:lineRule="auto"/>
        <w:rPr>
          <w:rFonts w:ascii="Lato Light" w:hAnsi="Lato Light" w:cstheme="majorHAnsi"/>
          <w:i/>
          <w:iCs/>
          <w:lang w:val="en-US"/>
        </w:rPr>
      </w:pPr>
    </w:p>
    <w:p w14:paraId="221E6F6F" w14:textId="3648C93D" w:rsidR="0026522A" w:rsidRDefault="0026522A" w:rsidP="0026522A">
      <w:pPr>
        <w:spacing w:line="240" w:lineRule="auto"/>
        <w:rPr>
          <w:rFonts w:ascii="Lato Light" w:hAnsi="Lato Light" w:cstheme="majorHAnsi"/>
          <w:lang w:val="en-US"/>
        </w:rPr>
      </w:pPr>
      <w:r w:rsidRPr="0026522A">
        <w:rPr>
          <w:rFonts w:ascii="Lato Light" w:hAnsi="Lato Light" w:cstheme="majorHAnsi"/>
          <w:lang w:val="en-US"/>
        </w:rPr>
        <w:t xml:space="preserve">If employees fit into the second category, these workers must </w:t>
      </w:r>
      <w:r w:rsidR="00E71171">
        <w:rPr>
          <w:rFonts w:ascii="Lato Light" w:hAnsi="Lato Light" w:cstheme="majorHAnsi"/>
          <w:lang w:val="en-US"/>
        </w:rPr>
        <w:t>give affirmative</w:t>
      </w:r>
      <w:r w:rsidRPr="0026522A">
        <w:rPr>
          <w:rFonts w:ascii="Lato Light" w:hAnsi="Lato Light" w:cstheme="majorHAnsi"/>
          <w:lang w:val="en-US"/>
        </w:rPr>
        <w:t xml:space="preserve"> consent to their employer to send the documents electronically</w:t>
      </w:r>
      <w:r w:rsidR="00D73251">
        <w:rPr>
          <w:rFonts w:ascii="Lato Light" w:hAnsi="Lato Light" w:cstheme="majorHAnsi"/>
          <w:lang w:val="en-US"/>
        </w:rPr>
        <w:t xml:space="preserve"> by sending an authorization from the email address they prefer</w:t>
      </w:r>
      <w:r w:rsidRPr="0026522A">
        <w:rPr>
          <w:rFonts w:ascii="Lato Light" w:hAnsi="Lato Light" w:cstheme="majorHAnsi"/>
          <w:lang w:val="en-US"/>
        </w:rPr>
        <w:t>. However, the employer must provide a notice prior to, or as a part of that request for consent</w:t>
      </w:r>
      <w:r w:rsidR="00B360F9">
        <w:rPr>
          <w:rFonts w:ascii="Lato Light" w:hAnsi="Lato Light" w:cstheme="majorHAnsi"/>
          <w:lang w:val="en-US"/>
        </w:rPr>
        <w:t>,</w:t>
      </w:r>
      <w:r w:rsidRPr="0026522A">
        <w:rPr>
          <w:rFonts w:ascii="Lato Light" w:hAnsi="Lato Light" w:cstheme="majorHAnsi"/>
          <w:lang w:val="en-US"/>
        </w:rPr>
        <w:t xml:space="preserve"> that includes the following: </w:t>
      </w:r>
    </w:p>
    <w:p w14:paraId="3DCC6697" w14:textId="77777777" w:rsidR="0026522A" w:rsidRPr="0026522A" w:rsidRDefault="0026522A" w:rsidP="0026522A">
      <w:pPr>
        <w:spacing w:line="240" w:lineRule="auto"/>
        <w:rPr>
          <w:rFonts w:ascii="Lato Light" w:hAnsi="Lato Light" w:cstheme="majorHAnsi"/>
          <w:lang w:val="en-US"/>
        </w:rPr>
      </w:pPr>
    </w:p>
    <w:p w14:paraId="04A5C5CE" w14:textId="77777777" w:rsidR="0026522A" w:rsidRPr="0026522A" w:rsidRDefault="0026522A" w:rsidP="0026522A">
      <w:pPr>
        <w:numPr>
          <w:ilvl w:val="0"/>
          <w:numId w:val="19"/>
        </w:numPr>
        <w:spacing w:line="240" w:lineRule="auto"/>
        <w:rPr>
          <w:rFonts w:ascii="Lato Light" w:hAnsi="Lato Light" w:cstheme="majorHAnsi"/>
          <w:lang w:val="en-US"/>
        </w:rPr>
      </w:pPr>
      <w:r w:rsidRPr="0026522A">
        <w:rPr>
          <w:rFonts w:ascii="Lato Light" w:hAnsi="Lato Light" w:cstheme="majorHAnsi"/>
          <w:lang w:val="en-US"/>
        </w:rPr>
        <w:t>an explanation that the documents will be available electronically</w:t>
      </w:r>
    </w:p>
    <w:p w14:paraId="66A21719" w14:textId="77777777" w:rsidR="0026522A" w:rsidRPr="0026522A" w:rsidRDefault="0026522A" w:rsidP="0026522A">
      <w:pPr>
        <w:numPr>
          <w:ilvl w:val="0"/>
          <w:numId w:val="19"/>
        </w:numPr>
        <w:spacing w:line="240" w:lineRule="auto"/>
        <w:rPr>
          <w:rFonts w:ascii="Lato Light" w:hAnsi="Lato Light" w:cstheme="majorHAnsi"/>
          <w:lang w:val="en-US"/>
        </w:rPr>
      </w:pPr>
      <w:r w:rsidRPr="0026522A">
        <w:rPr>
          <w:rFonts w:ascii="Lato Light" w:hAnsi="Lato Light" w:cstheme="majorHAnsi"/>
          <w:lang w:val="en-US"/>
        </w:rPr>
        <w:t>a notice that the employee's consent for electronic documents can be withdrawn without charge </w:t>
      </w:r>
    </w:p>
    <w:p w14:paraId="735CFAD0" w14:textId="77777777" w:rsidR="0026522A" w:rsidRPr="0026522A" w:rsidRDefault="0026522A" w:rsidP="0026522A">
      <w:pPr>
        <w:numPr>
          <w:ilvl w:val="0"/>
          <w:numId w:val="19"/>
        </w:numPr>
        <w:spacing w:line="240" w:lineRule="auto"/>
        <w:rPr>
          <w:rFonts w:ascii="Lato Light" w:hAnsi="Lato Light" w:cstheme="majorHAnsi"/>
          <w:lang w:val="en-US"/>
        </w:rPr>
      </w:pPr>
      <w:r w:rsidRPr="0026522A">
        <w:rPr>
          <w:rFonts w:ascii="Lato Light" w:hAnsi="Lato Light" w:cstheme="majorHAnsi"/>
          <w:lang w:val="en-US"/>
        </w:rPr>
        <w:t>the procedures for withdrawing consent and updating information</w:t>
      </w:r>
    </w:p>
    <w:p w14:paraId="510EEA82" w14:textId="77777777" w:rsidR="0026522A" w:rsidRPr="0026522A" w:rsidRDefault="0026522A" w:rsidP="0026522A">
      <w:pPr>
        <w:numPr>
          <w:ilvl w:val="0"/>
          <w:numId w:val="19"/>
        </w:numPr>
        <w:spacing w:line="240" w:lineRule="auto"/>
        <w:rPr>
          <w:rFonts w:ascii="Lato Light" w:hAnsi="Lato Light" w:cstheme="majorHAnsi"/>
          <w:lang w:val="en-US"/>
        </w:rPr>
      </w:pPr>
      <w:r w:rsidRPr="0026522A">
        <w:rPr>
          <w:rFonts w:ascii="Lato Light" w:hAnsi="Lato Light" w:cstheme="majorHAnsi"/>
          <w:lang w:val="en-US"/>
        </w:rPr>
        <w:t>the right to request a paper copy and if a charge applies (note: no charge may be imposed for an SPD because it must be provided without charge)</w:t>
      </w:r>
    </w:p>
    <w:p w14:paraId="434DA4F7" w14:textId="130644AC" w:rsidR="0026522A" w:rsidRDefault="0026522A" w:rsidP="0026522A">
      <w:pPr>
        <w:numPr>
          <w:ilvl w:val="0"/>
          <w:numId w:val="19"/>
        </w:numPr>
        <w:spacing w:line="240" w:lineRule="auto"/>
        <w:rPr>
          <w:rFonts w:ascii="Lato Light" w:hAnsi="Lato Light" w:cstheme="majorHAnsi"/>
          <w:lang w:val="en-US"/>
        </w:rPr>
      </w:pPr>
      <w:r w:rsidRPr="0026522A">
        <w:rPr>
          <w:rFonts w:ascii="Lato Light" w:hAnsi="Lato Light" w:cstheme="majorHAnsi"/>
          <w:lang w:val="en-US"/>
        </w:rPr>
        <w:t xml:space="preserve">description of the electronic delivery system and the software needed to </w:t>
      </w:r>
      <w:r w:rsidR="005A1F93">
        <w:rPr>
          <w:rFonts w:ascii="Lato Light" w:hAnsi="Lato Light" w:cstheme="majorHAnsi"/>
          <w:lang w:val="en-US"/>
        </w:rPr>
        <w:t xml:space="preserve">access </w:t>
      </w:r>
      <w:r w:rsidR="00D73251">
        <w:rPr>
          <w:rFonts w:ascii="Lato Light" w:hAnsi="Lato Light" w:cstheme="majorHAnsi"/>
          <w:lang w:val="en-US"/>
        </w:rPr>
        <w:t>(</w:t>
      </w:r>
      <w:r w:rsidR="006B606A">
        <w:rPr>
          <w:rFonts w:ascii="Lato Light" w:hAnsi="Lato Light" w:cstheme="majorHAnsi"/>
          <w:lang w:val="en-US"/>
        </w:rPr>
        <w:t>note</w:t>
      </w:r>
      <w:r w:rsidR="00D73251">
        <w:rPr>
          <w:rFonts w:ascii="Lato Light" w:hAnsi="Lato Light" w:cstheme="majorHAnsi"/>
          <w:lang w:val="en-US"/>
        </w:rPr>
        <w:t>, the whole process of providing notice and receiving active consent has to be redone if the electronic delivery system and software changes)</w:t>
      </w:r>
    </w:p>
    <w:p w14:paraId="44475B43" w14:textId="78C89D76" w:rsidR="0026522A" w:rsidRPr="0026522A" w:rsidRDefault="0026522A" w:rsidP="0026522A">
      <w:pPr>
        <w:spacing w:line="240" w:lineRule="auto"/>
        <w:ind w:left="720"/>
        <w:rPr>
          <w:rFonts w:ascii="Lato Light" w:hAnsi="Lato Light" w:cstheme="majorHAnsi"/>
          <w:lang w:val="en-US"/>
        </w:rPr>
      </w:pPr>
      <w:r w:rsidRPr="0026522A">
        <w:rPr>
          <w:rFonts w:ascii="Lato Light" w:hAnsi="Lato Light" w:cstheme="majorHAnsi"/>
          <w:lang w:val="en-US"/>
        </w:rPr>
        <w:t>​</w:t>
      </w:r>
    </w:p>
    <w:p w14:paraId="0084F19C" w14:textId="5EC4FA19" w:rsidR="0026522A" w:rsidRPr="0026522A" w:rsidRDefault="0026522A" w:rsidP="0026522A">
      <w:pPr>
        <w:spacing w:line="240" w:lineRule="auto"/>
        <w:rPr>
          <w:rFonts w:ascii="Lato Light" w:hAnsi="Lato Light" w:cstheme="majorHAnsi"/>
          <w:lang w:val="en-US"/>
        </w:rPr>
      </w:pPr>
      <w:r w:rsidRPr="0026522A">
        <w:rPr>
          <w:rFonts w:ascii="Lato Light" w:hAnsi="Lato Light" w:cstheme="majorHAnsi"/>
          <w:lang w:val="en-US"/>
        </w:rPr>
        <w:lastRenderedPageBreak/>
        <w:t>If an employee in the second category does</w:t>
      </w:r>
      <w:r w:rsidR="005A1F93">
        <w:rPr>
          <w:rFonts w:ascii="Lato Light" w:hAnsi="Lato Light" w:cstheme="majorHAnsi"/>
          <w:lang w:val="en-US"/>
        </w:rPr>
        <w:t xml:space="preserve"> not </w:t>
      </w:r>
      <w:r w:rsidRPr="0026522A">
        <w:rPr>
          <w:rFonts w:ascii="Lato Light" w:hAnsi="Lato Light" w:cstheme="majorHAnsi"/>
          <w:lang w:val="en-US"/>
        </w:rPr>
        <w:t>give consent, or withdraws consent, then the employer should mail a paper copy or distribute it through some other verifiable delivery method. </w:t>
      </w:r>
    </w:p>
    <w:p w14:paraId="0735A01A" w14:textId="65888639" w:rsidR="0026522A" w:rsidRPr="0026522A" w:rsidRDefault="0026522A" w:rsidP="0026522A">
      <w:pPr>
        <w:spacing w:line="240" w:lineRule="auto"/>
        <w:rPr>
          <w:rFonts w:ascii="Lato Light" w:hAnsi="Lato Light" w:cstheme="majorHAnsi"/>
          <w:lang w:val="en-US"/>
        </w:rPr>
      </w:pPr>
    </w:p>
    <w:p w14:paraId="2F4BC24A" w14:textId="53C86881" w:rsidR="0026522A" w:rsidRDefault="0026522A" w:rsidP="0026522A">
      <w:pPr>
        <w:spacing w:line="240" w:lineRule="auto"/>
        <w:rPr>
          <w:rFonts w:ascii="Lato Light" w:hAnsi="Lato Light" w:cstheme="majorHAnsi"/>
          <w:lang w:val="en-US"/>
        </w:rPr>
      </w:pPr>
      <w:r w:rsidRPr="0026522A">
        <w:rPr>
          <w:rFonts w:ascii="Lato Light" w:hAnsi="Lato Light" w:cstheme="majorHAnsi"/>
          <w:lang w:val="en-US"/>
        </w:rPr>
        <w:t xml:space="preserve">Regardless of </w:t>
      </w:r>
      <w:r>
        <w:rPr>
          <w:rFonts w:ascii="Lato Light" w:hAnsi="Lato Light" w:cstheme="majorHAnsi"/>
          <w:lang w:val="en-US"/>
        </w:rPr>
        <w:t>which</w:t>
      </w:r>
      <w:r w:rsidRPr="0026522A">
        <w:rPr>
          <w:rFonts w:ascii="Lato Light" w:hAnsi="Lato Light" w:cstheme="majorHAnsi"/>
          <w:lang w:val="en-US"/>
        </w:rPr>
        <w:t xml:space="preserve"> category employees fall under, the recipient must be told of the significance of the document and of the right to request and obtain a paper version. In other words, the employer needs to tell them what it is and how to ask for a paper copy. They should not, under any circumstance, just post the </w:t>
      </w:r>
      <w:r>
        <w:rPr>
          <w:rFonts w:ascii="Lato Light" w:hAnsi="Lato Light" w:cstheme="majorHAnsi"/>
          <w:lang w:val="en-US"/>
        </w:rPr>
        <w:t xml:space="preserve">notices or </w:t>
      </w:r>
      <w:r w:rsidRPr="0026522A">
        <w:rPr>
          <w:rFonts w:ascii="Lato Light" w:hAnsi="Lato Light" w:cstheme="majorHAnsi"/>
          <w:lang w:val="en-US"/>
        </w:rPr>
        <w:t>SPD to a company website</w:t>
      </w:r>
      <w:r w:rsidR="00FA7CD4">
        <w:rPr>
          <w:rFonts w:ascii="Lato Light" w:hAnsi="Lato Light" w:cstheme="majorHAnsi"/>
          <w:lang w:val="en-US"/>
        </w:rPr>
        <w:t xml:space="preserve"> or shared portal</w:t>
      </w:r>
      <w:r w:rsidRPr="0026522A">
        <w:rPr>
          <w:rFonts w:ascii="Lato Light" w:hAnsi="Lato Light" w:cstheme="majorHAnsi"/>
          <w:lang w:val="en-US"/>
        </w:rPr>
        <w:t xml:space="preserve"> without taking measures to ensure actual receipt.  </w:t>
      </w:r>
    </w:p>
    <w:p w14:paraId="74362594" w14:textId="77777777" w:rsidR="000516B9" w:rsidRDefault="000516B9" w:rsidP="0026522A">
      <w:pPr>
        <w:spacing w:line="240" w:lineRule="auto"/>
        <w:rPr>
          <w:rFonts w:ascii="Lato Light" w:hAnsi="Lato Light" w:cstheme="majorHAnsi"/>
          <w:lang w:val="en-US"/>
        </w:rPr>
      </w:pPr>
    </w:p>
    <w:p w14:paraId="02CEBE05" w14:textId="48526C29" w:rsidR="000516B9" w:rsidRPr="000516B9" w:rsidRDefault="000516B9" w:rsidP="005A1F93">
      <w:pPr>
        <w:spacing w:line="240" w:lineRule="auto"/>
        <w:rPr>
          <w:rFonts w:ascii="Lato Light" w:hAnsi="Lato Light" w:cstheme="majorHAnsi"/>
          <w:b/>
          <w:bCs/>
          <w:i/>
          <w:iCs/>
          <w:lang w:val="en-US"/>
        </w:rPr>
      </w:pPr>
      <w:r w:rsidRPr="000516B9">
        <w:rPr>
          <w:rFonts w:ascii="Lato Light" w:hAnsi="Lato Light" w:cstheme="majorHAnsi"/>
          <w:b/>
          <w:bCs/>
          <w:i/>
          <w:iCs/>
          <w:lang w:val="en-US"/>
        </w:rPr>
        <w:t>Sample Notice of Important Documents</w:t>
      </w:r>
      <w:r w:rsidR="005A1F93">
        <w:rPr>
          <w:rFonts w:ascii="Lato Light" w:hAnsi="Lato Light" w:cstheme="majorHAnsi"/>
          <w:b/>
          <w:bCs/>
          <w:i/>
          <w:iCs/>
          <w:lang w:val="en-US"/>
        </w:rPr>
        <w:t>:</w:t>
      </w:r>
    </w:p>
    <w:p w14:paraId="7DD94994" w14:textId="77777777" w:rsidR="000516B9" w:rsidRDefault="000516B9" w:rsidP="0026522A">
      <w:pPr>
        <w:spacing w:line="240" w:lineRule="auto"/>
        <w:rPr>
          <w:rFonts w:ascii="Lato Light" w:hAnsi="Lato Light" w:cstheme="majorHAnsi"/>
          <w:lang w:val="en-US"/>
        </w:rPr>
      </w:pPr>
    </w:p>
    <w:p w14:paraId="410577AF" w14:textId="4E2C9389" w:rsidR="000516B9" w:rsidRPr="000516B9" w:rsidRDefault="000516B9" w:rsidP="000516B9">
      <w:pPr>
        <w:spacing w:line="240" w:lineRule="auto"/>
        <w:ind w:left="720"/>
        <w:rPr>
          <w:rFonts w:ascii="Lato Light" w:hAnsi="Lato Light" w:cstheme="majorHAnsi"/>
          <w:i/>
          <w:iCs/>
          <w:lang w:val="en-US" w:bidi="en-US"/>
        </w:rPr>
      </w:pPr>
      <w:r w:rsidRPr="000516B9">
        <w:rPr>
          <w:rFonts w:ascii="Lato Light" w:hAnsi="Lato Light" w:cstheme="majorHAnsi"/>
          <w:i/>
          <w:iCs/>
          <w:lang w:val="en-US" w:bidi="en-US"/>
        </w:rPr>
        <w:t xml:space="preserve">This notice is to inform you of the availability of </w:t>
      </w:r>
      <w:r w:rsidRPr="000516B9">
        <w:rPr>
          <w:rFonts w:ascii="Lato Light" w:hAnsi="Lato Light" w:cstheme="majorHAnsi"/>
          <w:b/>
          <w:i/>
          <w:iCs/>
          <w:u w:val="single"/>
          <w:lang w:val="en-US" w:bidi="en-US"/>
        </w:rPr>
        <w:t>important benefit documents</w:t>
      </w:r>
      <w:r w:rsidRPr="000516B9">
        <w:rPr>
          <w:rFonts w:ascii="Lato Light" w:hAnsi="Lato Light" w:cstheme="majorHAnsi"/>
          <w:i/>
          <w:iCs/>
          <w:lang w:val="en-US" w:bidi="en-US"/>
        </w:rPr>
        <w:t>. In addition to those documents provided upon enrollment, more details can be found in the summary plan description, summary of material modifications, insurance contracts and other supporting documents.</w:t>
      </w:r>
    </w:p>
    <w:p w14:paraId="09CD4F8A" w14:textId="77777777" w:rsidR="000516B9" w:rsidRPr="000516B9" w:rsidRDefault="000516B9" w:rsidP="000516B9">
      <w:pPr>
        <w:spacing w:line="240" w:lineRule="auto"/>
        <w:rPr>
          <w:rFonts w:ascii="Lato Light" w:hAnsi="Lato Light" w:cstheme="majorHAnsi"/>
          <w:i/>
          <w:iCs/>
          <w:lang w:val="en-US" w:bidi="en-US"/>
        </w:rPr>
      </w:pPr>
    </w:p>
    <w:p w14:paraId="147F9CA2" w14:textId="7DDC90B0" w:rsidR="005A1F93" w:rsidRDefault="000516B9" w:rsidP="005A1F93">
      <w:pPr>
        <w:spacing w:line="240" w:lineRule="auto"/>
        <w:ind w:left="720"/>
        <w:rPr>
          <w:rFonts w:ascii="Lato Light" w:hAnsi="Lato Light" w:cstheme="majorHAnsi"/>
          <w:i/>
          <w:iCs/>
          <w:lang w:val="en-US" w:bidi="en-US"/>
        </w:rPr>
      </w:pPr>
      <w:r w:rsidRPr="000516B9">
        <w:rPr>
          <w:rFonts w:ascii="Lato Light" w:hAnsi="Lato Light" w:cstheme="majorHAnsi"/>
          <w:i/>
          <w:iCs/>
          <w:lang w:val="en-US" w:bidi="en-US"/>
        </w:rPr>
        <w:t xml:space="preserve">[Insert company name] has created a [Insert specifics – </w:t>
      </w:r>
      <w:r w:rsidR="005A1F93">
        <w:rPr>
          <w:rFonts w:ascii="Lato Light" w:hAnsi="Lato Light" w:cstheme="majorHAnsi"/>
          <w:i/>
          <w:iCs/>
          <w:lang w:val="en-US" w:bidi="en-US"/>
        </w:rPr>
        <w:t>such as the</w:t>
      </w:r>
      <w:r w:rsidRPr="000516B9">
        <w:rPr>
          <w:rFonts w:ascii="Lato Light" w:hAnsi="Lato Light" w:cstheme="majorHAnsi"/>
          <w:i/>
          <w:iCs/>
          <w:lang w:val="en-US" w:bidi="en-US"/>
        </w:rPr>
        <w:t xml:space="preserve"> share file on the company website] where all documents can be viewed</w:t>
      </w:r>
      <w:r w:rsidR="005A1F93">
        <w:rPr>
          <w:rFonts w:ascii="Lato Light" w:hAnsi="Lato Light" w:cstheme="majorHAnsi"/>
          <w:i/>
          <w:iCs/>
          <w:lang w:val="en-US" w:bidi="en-US"/>
        </w:rPr>
        <w:t>.</w:t>
      </w:r>
    </w:p>
    <w:p w14:paraId="1FE1D36D" w14:textId="29915ABA" w:rsidR="005A1F93" w:rsidRDefault="005A1F93" w:rsidP="005A1F93">
      <w:pPr>
        <w:spacing w:line="240" w:lineRule="auto"/>
        <w:rPr>
          <w:rFonts w:ascii="Lato Light" w:hAnsi="Lato Light" w:cstheme="majorHAnsi"/>
          <w:i/>
          <w:iCs/>
          <w:lang w:val="en-US" w:bidi="en-US"/>
        </w:rPr>
      </w:pPr>
      <w:r>
        <w:rPr>
          <w:rFonts w:ascii="Lato Light" w:hAnsi="Lato Light" w:cstheme="majorHAnsi"/>
          <w:i/>
          <w:iCs/>
          <w:lang w:val="en-US" w:bidi="en-US"/>
        </w:rPr>
        <w:tab/>
        <w:t>or</w:t>
      </w:r>
    </w:p>
    <w:p w14:paraId="2471283E" w14:textId="01154F57" w:rsidR="000516B9" w:rsidRPr="000516B9" w:rsidRDefault="005A1F93" w:rsidP="000516B9">
      <w:pPr>
        <w:spacing w:line="240" w:lineRule="auto"/>
        <w:ind w:left="720"/>
        <w:rPr>
          <w:rFonts w:ascii="Lato Light" w:hAnsi="Lato Light" w:cstheme="majorHAnsi"/>
          <w:i/>
          <w:iCs/>
          <w:lang w:val="en-US" w:bidi="en-US"/>
        </w:rPr>
      </w:pPr>
      <w:r w:rsidRPr="000516B9">
        <w:rPr>
          <w:rFonts w:ascii="Lato Light" w:hAnsi="Lato Light" w:cstheme="majorHAnsi"/>
          <w:i/>
          <w:iCs/>
          <w:lang w:val="en-US" w:bidi="en-US"/>
        </w:rPr>
        <w:t xml:space="preserve">[Insert company name] </w:t>
      </w:r>
      <w:r w:rsidR="000516B9" w:rsidRPr="000516B9">
        <w:rPr>
          <w:rFonts w:ascii="Lato Light" w:hAnsi="Lato Light" w:cstheme="majorHAnsi"/>
          <w:i/>
          <w:iCs/>
          <w:lang w:val="en-US" w:bidi="en-US"/>
        </w:rPr>
        <w:t xml:space="preserve"> has attached these documents for your convenience.</w:t>
      </w:r>
    </w:p>
    <w:p w14:paraId="24219476" w14:textId="77777777" w:rsidR="000516B9" w:rsidRPr="000516B9" w:rsidRDefault="000516B9" w:rsidP="000516B9">
      <w:pPr>
        <w:spacing w:line="240" w:lineRule="auto"/>
        <w:rPr>
          <w:rFonts w:ascii="Lato Light" w:hAnsi="Lato Light" w:cstheme="majorHAnsi"/>
          <w:i/>
          <w:iCs/>
          <w:lang w:val="en-US" w:bidi="en-US"/>
        </w:rPr>
      </w:pPr>
    </w:p>
    <w:p w14:paraId="374946B6" w14:textId="77777777" w:rsidR="000516B9" w:rsidRPr="000516B9" w:rsidRDefault="000516B9" w:rsidP="000516B9">
      <w:pPr>
        <w:spacing w:line="240" w:lineRule="auto"/>
        <w:ind w:left="720"/>
        <w:rPr>
          <w:rFonts w:ascii="Lato Light" w:hAnsi="Lato Light" w:cstheme="majorHAnsi"/>
          <w:i/>
          <w:iCs/>
          <w:lang w:val="en-US" w:bidi="en-US"/>
        </w:rPr>
      </w:pPr>
      <w:r w:rsidRPr="000516B9">
        <w:rPr>
          <w:rFonts w:ascii="Lato Light" w:hAnsi="Lato Light" w:cstheme="majorHAnsi"/>
          <w:i/>
          <w:iCs/>
          <w:lang w:val="en-US" w:bidi="en-US"/>
        </w:rPr>
        <w:t>If you wish to receive a hard copy of this information, at no cost, please contact [insert contact person, name, number and/or email] with your preference.</w:t>
      </w:r>
    </w:p>
    <w:p w14:paraId="6AD59069" w14:textId="77777777" w:rsidR="00CA5506" w:rsidRDefault="00CA5506" w:rsidP="0026522A">
      <w:pPr>
        <w:spacing w:line="240" w:lineRule="auto"/>
        <w:rPr>
          <w:rFonts w:ascii="Lato Light" w:hAnsi="Lato Light" w:cstheme="majorHAnsi"/>
          <w:lang w:val="en-US"/>
        </w:rPr>
      </w:pPr>
    </w:p>
    <w:p w14:paraId="355C64E9" w14:textId="15EA20AE" w:rsidR="00CA5506" w:rsidRPr="000A19AC" w:rsidRDefault="00CA5506" w:rsidP="0026522A">
      <w:pPr>
        <w:spacing w:line="240" w:lineRule="auto"/>
        <w:rPr>
          <w:rFonts w:ascii="Lato Light" w:hAnsi="Lato Light" w:cstheme="majorHAnsi"/>
        </w:rPr>
      </w:pPr>
      <w:r w:rsidRPr="00CA5506">
        <w:rPr>
          <w:rFonts w:ascii="Lato Light" w:hAnsi="Lato Light" w:cstheme="majorHAnsi"/>
        </w:rPr>
        <w:t xml:space="preserve">In contrast, </w:t>
      </w:r>
      <w:r w:rsidR="00FA7CD4">
        <w:rPr>
          <w:rFonts w:ascii="Lato Light" w:hAnsi="Lato Light" w:cstheme="majorHAnsi"/>
        </w:rPr>
        <w:t xml:space="preserve">the COBRA General Initial Notice </w:t>
      </w:r>
      <w:r w:rsidRPr="00CA5506">
        <w:rPr>
          <w:rFonts w:ascii="Lato Light" w:hAnsi="Lato Light" w:cstheme="majorHAnsi"/>
        </w:rPr>
        <w:t xml:space="preserve">might be better left out of </w:t>
      </w:r>
      <w:r w:rsidR="00FA7CD4">
        <w:rPr>
          <w:rFonts w:ascii="Lato Light" w:hAnsi="Lato Light" w:cstheme="majorHAnsi"/>
        </w:rPr>
        <w:t>any electronic notice distribution</w:t>
      </w:r>
      <w:r w:rsidRPr="00CA5506">
        <w:rPr>
          <w:rFonts w:ascii="Lato Light" w:hAnsi="Lato Light" w:cstheme="majorHAnsi"/>
        </w:rPr>
        <w:t xml:space="preserve">. </w:t>
      </w:r>
      <w:r w:rsidR="00FA7CD4">
        <w:rPr>
          <w:rFonts w:ascii="Lato Light" w:hAnsi="Lato Light" w:cstheme="majorHAnsi"/>
        </w:rPr>
        <w:t>T</w:t>
      </w:r>
      <w:r w:rsidRPr="00CA5506">
        <w:rPr>
          <w:rFonts w:ascii="Lato Light" w:hAnsi="Lato Light" w:cstheme="majorHAnsi"/>
        </w:rPr>
        <w:t xml:space="preserve">he COBRA Initial Notice must be given to enrolled employees and spouses within 90 days of plan participation, preferably sent via first-class mail. </w:t>
      </w:r>
      <w:r w:rsidR="00FA7CD4">
        <w:rPr>
          <w:rFonts w:ascii="Lato Light" w:hAnsi="Lato Light" w:cstheme="majorHAnsi"/>
        </w:rPr>
        <w:t>Thus, instead of providing the COBRA notices electronically or by hand delivery, employers should consider mailing the COBRA notices within the timeframes, through either use of a COBRA third party administrator or internal COBRA procedure.</w:t>
      </w:r>
    </w:p>
    <w:p w14:paraId="2BBF17DC" w14:textId="77777777" w:rsidR="003D1808" w:rsidRPr="00AD3EA2" w:rsidRDefault="003D1808" w:rsidP="00AD3EA2">
      <w:pPr>
        <w:spacing w:line="240" w:lineRule="auto"/>
        <w:rPr>
          <w:rFonts w:ascii="Lato Light" w:hAnsi="Lato Light" w:cstheme="majorHAnsi"/>
          <w:lang w:val="en-US"/>
        </w:rPr>
      </w:pPr>
    </w:p>
    <w:p w14:paraId="1633C148" w14:textId="51F478E5" w:rsidR="002F7D30" w:rsidRDefault="001F423C" w:rsidP="00621331">
      <w:pPr>
        <w:spacing w:line="240" w:lineRule="auto"/>
        <w:rPr>
          <w:rFonts w:ascii="Lato Light" w:hAnsi="Lato Light" w:cstheme="majorHAnsi"/>
          <w:b/>
          <w:bCs/>
        </w:rPr>
      </w:pPr>
      <w:r w:rsidRPr="00315692">
        <w:rPr>
          <w:rFonts w:ascii="Lato Light" w:hAnsi="Lato Light" w:cstheme="majorHAnsi"/>
          <w:b/>
          <w:bCs/>
        </w:rPr>
        <w:t>Consequences of Non-</w:t>
      </w:r>
      <w:r w:rsidR="00630C9B">
        <w:rPr>
          <w:rFonts w:ascii="Lato Light" w:hAnsi="Lato Light" w:cstheme="majorHAnsi"/>
          <w:b/>
          <w:bCs/>
        </w:rPr>
        <w:t>C</w:t>
      </w:r>
      <w:r w:rsidRPr="00315692">
        <w:rPr>
          <w:rFonts w:ascii="Lato Light" w:hAnsi="Lato Light" w:cstheme="majorHAnsi"/>
          <w:b/>
          <w:bCs/>
        </w:rPr>
        <w:t>ompliance:</w:t>
      </w:r>
    </w:p>
    <w:p w14:paraId="78DC0BE5" w14:textId="58B20F7B" w:rsidR="003B011F" w:rsidRPr="002F7D30" w:rsidRDefault="002F7D30" w:rsidP="00621331">
      <w:pPr>
        <w:spacing w:line="240" w:lineRule="auto"/>
        <w:rPr>
          <w:rFonts w:ascii="Lato Light" w:hAnsi="Lato Light" w:cstheme="majorHAnsi"/>
        </w:rPr>
      </w:pPr>
      <w:r w:rsidRPr="002F7D30">
        <w:rPr>
          <w:rFonts w:ascii="Lato Light" w:hAnsi="Lato Light" w:cstheme="majorHAnsi"/>
        </w:rPr>
        <w:t>While there is</w:t>
      </w:r>
      <w:r w:rsidR="000A19AC">
        <w:rPr>
          <w:rFonts w:ascii="Lato Light" w:hAnsi="Lato Light" w:cstheme="majorHAnsi"/>
        </w:rPr>
        <w:t xml:space="preserve"> not</w:t>
      </w:r>
      <w:r w:rsidRPr="002F7D30">
        <w:rPr>
          <w:rFonts w:ascii="Lato Light" w:hAnsi="Lato Light" w:cstheme="majorHAnsi"/>
        </w:rPr>
        <w:t xml:space="preserve"> a direct penalty outlined for </w:t>
      </w:r>
      <w:r w:rsidR="00E7114A">
        <w:rPr>
          <w:rFonts w:ascii="Lato Light" w:hAnsi="Lato Light" w:cstheme="majorHAnsi"/>
        </w:rPr>
        <w:t>failure to</w:t>
      </w:r>
      <w:r w:rsidRPr="002F7D30">
        <w:rPr>
          <w:rFonts w:ascii="Lato Light" w:hAnsi="Lato Light" w:cstheme="majorHAnsi"/>
        </w:rPr>
        <w:t xml:space="preserve"> comply with the DOL electronic safe harbor rule for health and welfare plans, failing to properly distribute plan documents electronically can result in enforcement actions from the DOL, including potential penalties of up to $110 per day if a participant requests a document and it is</w:t>
      </w:r>
      <w:r w:rsidR="000A19AC">
        <w:rPr>
          <w:rFonts w:ascii="Lato Light" w:hAnsi="Lato Light" w:cstheme="majorHAnsi"/>
        </w:rPr>
        <w:t xml:space="preserve"> not</w:t>
      </w:r>
      <w:r w:rsidRPr="002F7D30">
        <w:rPr>
          <w:rFonts w:ascii="Lato Light" w:hAnsi="Lato Light" w:cstheme="majorHAnsi"/>
        </w:rPr>
        <w:t xml:space="preserve"> provided</w:t>
      </w:r>
      <w:r>
        <w:rPr>
          <w:rFonts w:ascii="Lato Light" w:hAnsi="Lato Light" w:cstheme="majorHAnsi"/>
        </w:rPr>
        <w:t xml:space="preserve"> a copy</w:t>
      </w:r>
      <w:r w:rsidRPr="002F7D30">
        <w:rPr>
          <w:rFonts w:ascii="Lato Light" w:hAnsi="Lato Light" w:cstheme="majorHAnsi"/>
        </w:rPr>
        <w:t xml:space="preserve"> within 30 days; this could significantly impact an employer's ability to defend benefit claims in a lawsuit due to improper disclosure. </w:t>
      </w:r>
    </w:p>
    <w:p w14:paraId="5C1CA987" w14:textId="77777777" w:rsidR="001F423C" w:rsidRPr="00315692" w:rsidRDefault="001F423C" w:rsidP="00621331">
      <w:pPr>
        <w:spacing w:line="240" w:lineRule="auto"/>
        <w:rPr>
          <w:rFonts w:ascii="Lato Light" w:hAnsi="Lato Light" w:cstheme="majorHAnsi"/>
          <w:b/>
          <w:bCs/>
        </w:rPr>
      </w:pPr>
    </w:p>
    <w:p w14:paraId="4BD91335" w14:textId="6071D3CD" w:rsidR="001F423C" w:rsidRPr="00315692" w:rsidRDefault="001F423C" w:rsidP="00621331">
      <w:pPr>
        <w:spacing w:line="240" w:lineRule="auto"/>
        <w:rPr>
          <w:rFonts w:ascii="Lato Light" w:hAnsi="Lato Light" w:cstheme="majorHAnsi"/>
          <w:b/>
          <w:bCs/>
        </w:rPr>
      </w:pPr>
      <w:r w:rsidRPr="00315692">
        <w:rPr>
          <w:rFonts w:ascii="Lato Light" w:hAnsi="Lato Light" w:cstheme="majorHAnsi"/>
          <w:b/>
          <w:bCs/>
        </w:rPr>
        <w:t>Practical Implications for Employers:</w:t>
      </w:r>
    </w:p>
    <w:p w14:paraId="25404F32" w14:textId="11CF062C" w:rsidR="00940A20" w:rsidRDefault="00940A20" w:rsidP="00055E48">
      <w:pPr>
        <w:spacing w:line="240" w:lineRule="auto"/>
        <w:rPr>
          <w:rFonts w:ascii="Lato Light" w:hAnsi="Lato Light" w:cstheme="majorHAnsi"/>
        </w:rPr>
      </w:pPr>
      <w:r>
        <w:rPr>
          <w:rFonts w:ascii="Lato Light" w:hAnsi="Lato Light" w:cstheme="majorHAnsi"/>
        </w:rPr>
        <w:t>Employers need to review their enrollment materials and ensure all applicable notices are provided to employees and other participants (e.g., COBRA qualified beneficiaries and covered retirees)</w:t>
      </w:r>
      <w:r w:rsidR="00E7114A">
        <w:rPr>
          <w:rFonts w:ascii="Lato Light" w:hAnsi="Lato Light" w:cstheme="majorHAnsi"/>
        </w:rPr>
        <w:t xml:space="preserve"> in a </w:t>
      </w:r>
      <w:r w:rsidR="00E7114A" w:rsidRPr="00E7114A">
        <w:rPr>
          <w:rFonts w:ascii="Lato Light" w:hAnsi="Lato Light" w:cstheme="majorHAnsi"/>
        </w:rPr>
        <w:t>method reasonably calculated to ensure actual receipt</w:t>
      </w:r>
      <w:r>
        <w:rPr>
          <w:rFonts w:ascii="Lato Light" w:hAnsi="Lato Light" w:cstheme="majorHAnsi"/>
        </w:rPr>
        <w:t xml:space="preserve">. </w:t>
      </w:r>
      <w:r w:rsidR="00E7114A">
        <w:rPr>
          <w:rFonts w:ascii="Lato Light" w:hAnsi="Lato Light" w:cstheme="majorHAnsi"/>
        </w:rPr>
        <w:t xml:space="preserve">The two categories of employees should be carefully considered when determining whether electronic documents can be provided, or if certain employees </w:t>
      </w:r>
      <w:r w:rsidR="000A19AC">
        <w:rPr>
          <w:rFonts w:ascii="Lato Light" w:hAnsi="Lato Light" w:cstheme="majorHAnsi"/>
        </w:rPr>
        <w:t xml:space="preserve">or beneficiaries </w:t>
      </w:r>
      <w:r w:rsidR="00E7114A">
        <w:rPr>
          <w:rFonts w:ascii="Lato Light" w:hAnsi="Lato Light" w:cstheme="majorHAnsi"/>
        </w:rPr>
        <w:t xml:space="preserve">must be asked to provide consent to receive electronic documents. </w:t>
      </w:r>
    </w:p>
    <w:p w14:paraId="1E6C5867" w14:textId="77777777" w:rsidR="00940A20" w:rsidRDefault="00940A20" w:rsidP="00055E48">
      <w:pPr>
        <w:spacing w:line="240" w:lineRule="auto"/>
        <w:rPr>
          <w:rFonts w:ascii="Lato Light" w:hAnsi="Lato Light" w:cstheme="majorHAnsi"/>
        </w:rPr>
      </w:pPr>
    </w:p>
    <w:p w14:paraId="043473C1" w14:textId="75C6C793" w:rsidR="007A112D" w:rsidRPr="00315692" w:rsidRDefault="00E7114A" w:rsidP="00055E48">
      <w:pPr>
        <w:spacing w:line="240" w:lineRule="auto"/>
        <w:rPr>
          <w:rFonts w:ascii="Lato Light" w:hAnsi="Lato Light" w:cstheme="majorHAnsi"/>
        </w:rPr>
      </w:pPr>
      <w:r>
        <w:rPr>
          <w:rFonts w:ascii="Lato Light" w:hAnsi="Lato Light" w:cstheme="majorHAnsi"/>
        </w:rPr>
        <w:t>In addition</w:t>
      </w:r>
      <w:r w:rsidR="00940A20">
        <w:rPr>
          <w:rFonts w:ascii="Lato Light" w:hAnsi="Lato Light" w:cstheme="majorHAnsi"/>
        </w:rPr>
        <w:t>, employers relying on the DOL electronic disclosure safe harbor should k</w:t>
      </w:r>
      <w:r w:rsidR="00940A20" w:rsidRPr="00940A20">
        <w:rPr>
          <w:rFonts w:ascii="Lato Light" w:hAnsi="Lato Light" w:cstheme="majorHAnsi"/>
        </w:rPr>
        <w:t xml:space="preserve">eep records of when and how </w:t>
      </w:r>
      <w:r w:rsidR="00940A20">
        <w:rPr>
          <w:rFonts w:ascii="Lato Light" w:hAnsi="Lato Light" w:cstheme="majorHAnsi"/>
        </w:rPr>
        <w:t xml:space="preserve">notices and </w:t>
      </w:r>
      <w:r w:rsidR="00940A20" w:rsidRPr="00940A20">
        <w:rPr>
          <w:rFonts w:ascii="Lato Light" w:hAnsi="Lato Light" w:cstheme="majorHAnsi"/>
        </w:rPr>
        <w:t>plan documents were electronically delivered to participants.</w:t>
      </w:r>
      <w:r w:rsidR="00940A20" w:rsidRPr="00940A20">
        <w:rPr>
          <w:rFonts w:ascii="Roboto" w:hAnsi="Roboto"/>
          <w:color w:val="545D7E"/>
          <w:spacing w:val="2"/>
          <w:shd w:val="clear" w:color="auto" w:fill="FFFFFF"/>
        </w:rPr>
        <w:t xml:space="preserve"> </w:t>
      </w:r>
      <w:r w:rsidR="00940A20" w:rsidRPr="00940A20">
        <w:rPr>
          <w:rFonts w:ascii="Lato Light" w:hAnsi="Lato Light" w:cstheme="majorHAnsi"/>
        </w:rPr>
        <w:t>This includes verifying that employees have adequate access to electronic documents and providing proper notice</w:t>
      </w:r>
      <w:r w:rsidR="00940A20">
        <w:rPr>
          <w:rFonts w:ascii="Lato Light" w:hAnsi="Lato Light" w:cstheme="majorHAnsi"/>
        </w:rPr>
        <w:t>/consent</w:t>
      </w:r>
      <w:r w:rsidR="00940A20" w:rsidRPr="00940A20">
        <w:rPr>
          <w:rFonts w:ascii="Lato Light" w:hAnsi="Lato Light" w:cstheme="majorHAnsi"/>
        </w:rPr>
        <w:t xml:space="preserve"> regarding electronic delivery.</w:t>
      </w:r>
      <w:r w:rsidR="00940A20" w:rsidRPr="00940A20">
        <w:rPr>
          <w:rFonts w:ascii="Roboto" w:hAnsi="Roboto"/>
          <w:color w:val="545D7E"/>
          <w:spacing w:val="2"/>
          <w:shd w:val="clear" w:color="auto" w:fill="FFFFFF"/>
        </w:rPr>
        <w:t xml:space="preserve"> </w:t>
      </w:r>
      <w:r w:rsidR="00940A20">
        <w:rPr>
          <w:rFonts w:ascii="Lato Light" w:hAnsi="Lato Light" w:cstheme="majorHAnsi"/>
        </w:rPr>
        <w:t>If</w:t>
      </w:r>
      <w:r w:rsidR="00940A20" w:rsidRPr="00940A20">
        <w:rPr>
          <w:rFonts w:ascii="Lato Light" w:hAnsi="Lato Light" w:cstheme="majorHAnsi"/>
        </w:rPr>
        <w:t xml:space="preserve"> an employee requests a plan document, provide it within the 30-day timeframe to avoid daily penalties</w:t>
      </w:r>
      <w:r w:rsidR="00940A20">
        <w:rPr>
          <w:rFonts w:ascii="Lato Light" w:hAnsi="Lato Light" w:cstheme="majorHAnsi"/>
        </w:rPr>
        <w:t>.</w:t>
      </w:r>
    </w:p>
    <w:sectPr w:rsidR="007A112D" w:rsidRPr="00315692" w:rsidSect="00315692">
      <w:headerReference w:type="default" r:id="rId8"/>
      <w:pgSz w:w="12240" w:h="15840"/>
      <w:pgMar w:top="1080" w:right="1080" w:bottom="108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473BC" w14:textId="77777777" w:rsidR="00513759" w:rsidRDefault="00513759" w:rsidP="005A4439">
      <w:pPr>
        <w:spacing w:line="240" w:lineRule="auto"/>
      </w:pPr>
      <w:r>
        <w:separator/>
      </w:r>
    </w:p>
  </w:endnote>
  <w:endnote w:type="continuationSeparator" w:id="0">
    <w:p w14:paraId="008DE7C4" w14:textId="77777777" w:rsidR="00513759" w:rsidRDefault="00513759" w:rsidP="005A44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Light">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7C455" w14:textId="77777777" w:rsidR="00513759" w:rsidRDefault="00513759" w:rsidP="005A4439">
      <w:pPr>
        <w:spacing w:line="240" w:lineRule="auto"/>
      </w:pPr>
      <w:r>
        <w:separator/>
      </w:r>
    </w:p>
  </w:footnote>
  <w:footnote w:type="continuationSeparator" w:id="0">
    <w:p w14:paraId="1F9140A8" w14:textId="77777777" w:rsidR="00513759" w:rsidRDefault="00513759" w:rsidP="005A44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C0660" w14:textId="6F62FF50" w:rsidR="005A4439" w:rsidRPr="001F423C" w:rsidRDefault="005B04D9" w:rsidP="00315692">
    <w:pPr>
      <w:rPr>
        <w:rFonts w:ascii="Calibri" w:hAnsi="Calibri" w:cs="Calibri"/>
        <w:b/>
        <w:sz w:val="28"/>
        <w:szCs w:val="28"/>
      </w:rPr>
    </w:pPr>
    <w:r>
      <w:rPr>
        <w:noProof/>
      </w:rPr>
      <w:drawing>
        <wp:inline distT="0" distB="0" distL="0" distR="0" wp14:anchorId="65D015A1" wp14:editId="7ADAA9EF">
          <wp:extent cx="1628140" cy="661670"/>
          <wp:effectExtent l="0" t="0" r="0" b="5080"/>
          <wp:docPr id="8739372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937297"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28140" cy="661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1F64"/>
    <w:multiLevelType w:val="multilevel"/>
    <w:tmpl w:val="3CDE7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65632"/>
    <w:multiLevelType w:val="hybridMultilevel"/>
    <w:tmpl w:val="107CD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C162B"/>
    <w:multiLevelType w:val="multilevel"/>
    <w:tmpl w:val="6128A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FA3712"/>
    <w:multiLevelType w:val="multilevel"/>
    <w:tmpl w:val="284C2FE8"/>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7637A7"/>
    <w:multiLevelType w:val="hybridMultilevel"/>
    <w:tmpl w:val="C56AE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7515B"/>
    <w:multiLevelType w:val="multilevel"/>
    <w:tmpl w:val="A8569214"/>
    <w:lvl w:ilvl="0">
      <w:start w:val="1"/>
      <w:numFmt w:val="bullet"/>
      <w:lvlText w:val="●"/>
      <w:lvlJc w:val="left"/>
      <w:pPr>
        <w:ind w:left="720" w:hanging="360"/>
      </w:pPr>
      <w:rPr>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BD142D"/>
    <w:multiLevelType w:val="hybridMultilevel"/>
    <w:tmpl w:val="C3DE9DEC"/>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31790"/>
    <w:multiLevelType w:val="hybridMultilevel"/>
    <w:tmpl w:val="375E6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B4E19"/>
    <w:multiLevelType w:val="multilevel"/>
    <w:tmpl w:val="D97AA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C3364F"/>
    <w:multiLevelType w:val="hybridMultilevel"/>
    <w:tmpl w:val="616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7A7D28"/>
    <w:multiLevelType w:val="hybridMultilevel"/>
    <w:tmpl w:val="38904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B19A9"/>
    <w:multiLevelType w:val="hybridMultilevel"/>
    <w:tmpl w:val="2BE41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E3709"/>
    <w:multiLevelType w:val="hybridMultilevel"/>
    <w:tmpl w:val="C56AEC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6A1B2E"/>
    <w:multiLevelType w:val="multilevel"/>
    <w:tmpl w:val="F5A0B3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B3B309A"/>
    <w:multiLevelType w:val="multilevel"/>
    <w:tmpl w:val="8898A8EC"/>
    <w:lvl w:ilvl="0">
      <w:start w:val="1"/>
      <w:numFmt w:val="bullet"/>
      <w:lvlText w:val=""/>
      <w:lvlJc w:val="left"/>
      <w:pPr>
        <w:ind w:left="720" w:hanging="360"/>
      </w:pPr>
      <w:rPr>
        <w:rFonts w:ascii="Wingdings" w:hAnsi="Wingdings" w:hint="default"/>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BBE5D0B"/>
    <w:multiLevelType w:val="multilevel"/>
    <w:tmpl w:val="2794C02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34B7211"/>
    <w:multiLevelType w:val="multilevel"/>
    <w:tmpl w:val="E8083238"/>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8DA0D49"/>
    <w:multiLevelType w:val="multilevel"/>
    <w:tmpl w:val="C616C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C33767E"/>
    <w:multiLevelType w:val="hybridMultilevel"/>
    <w:tmpl w:val="25688816"/>
    <w:lvl w:ilvl="0" w:tplc="0DB8AA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0E4386"/>
    <w:multiLevelType w:val="multilevel"/>
    <w:tmpl w:val="62EE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9580984">
    <w:abstractNumId w:val="8"/>
  </w:num>
  <w:num w:numId="2" w16cid:durableId="1440952817">
    <w:abstractNumId w:val="15"/>
  </w:num>
  <w:num w:numId="3" w16cid:durableId="952438708">
    <w:abstractNumId w:val="17"/>
  </w:num>
  <w:num w:numId="4" w16cid:durableId="191656106">
    <w:abstractNumId w:val="1"/>
  </w:num>
  <w:num w:numId="5" w16cid:durableId="1681813447">
    <w:abstractNumId w:val="18"/>
  </w:num>
  <w:num w:numId="6" w16cid:durableId="1637567862">
    <w:abstractNumId w:val="4"/>
  </w:num>
  <w:num w:numId="7" w16cid:durableId="515462194">
    <w:abstractNumId w:val="12"/>
  </w:num>
  <w:num w:numId="8" w16cid:durableId="244992502">
    <w:abstractNumId w:val="7"/>
  </w:num>
  <w:num w:numId="9" w16cid:durableId="743258463">
    <w:abstractNumId w:val="11"/>
  </w:num>
  <w:num w:numId="10" w16cid:durableId="672486813">
    <w:abstractNumId w:val="6"/>
  </w:num>
  <w:num w:numId="11" w16cid:durableId="1184242015">
    <w:abstractNumId w:val="5"/>
  </w:num>
  <w:num w:numId="12" w16cid:durableId="887184819">
    <w:abstractNumId w:val="13"/>
  </w:num>
  <w:num w:numId="13" w16cid:durableId="1843661974">
    <w:abstractNumId w:val="3"/>
  </w:num>
  <w:num w:numId="14" w16cid:durableId="1992051868">
    <w:abstractNumId w:val="10"/>
  </w:num>
  <w:num w:numId="15" w16cid:durableId="1219170210">
    <w:abstractNumId w:val="16"/>
  </w:num>
  <w:num w:numId="16" w16cid:durableId="242882409">
    <w:abstractNumId w:val="14"/>
  </w:num>
  <w:num w:numId="17" w16cid:durableId="955253311">
    <w:abstractNumId w:val="19"/>
  </w:num>
  <w:num w:numId="18" w16cid:durableId="280654435">
    <w:abstractNumId w:val="2"/>
  </w:num>
  <w:num w:numId="19" w16cid:durableId="366299461">
    <w:abstractNumId w:val="0"/>
  </w:num>
  <w:num w:numId="20" w16cid:durableId="9735604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89F"/>
    <w:rsid w:val="00005C05"/>
    <w:rsid w:val="0001489F"/>
    <w:rsid w:val="00026685"/>
    <w:rsid w:val="000516B9"/>
    <w:rsid w:val="00055E48"/>
    <w:rsid w:val="0006201D"/>
    <w:rsid w:val="000952DA"/>
    <w:rsid w:val="000A19AC"/>
    <w:rsid w:val="000D6740"/>
    <w:rsid w:val="000F24A8"/>
    <w:rsid w:val="000F39E4"/>
    <w:rsid w:val="001017A6"/>
    <w:rsid w:val="00112CDF"/>
    <w:rsid w:val="00142B5A"/>
    <w:rsid w:val="0017297A"/>
    <w:rsid w:val="001F423C"/>
    <w:rsid w:val="001F5E90"/>
    <w:rsid w:val="002243BD"/>
    <w:rsid w:val="00243BAC"/>
    <w:rsid w:val="00246B3C"/>
    <w:rsid w:val="00260A87"/>
    <w:rsid w:val="002611B5"/>
    <w:rsid w:val="0026522A"/>
    <w:rsid w:val="00287D0A"/>
    <w:rsid w:val="002A1822"/>
    <w:rsid w:val="002A7BDF"/>
    <w:rsid w:val="002A7F61"/>
    <w:rsid w:val="002D21E5"/>
    <w:rsid w:val="002E0606"/>
    <w:rsid w:val="002F7D30"/>
    <w:rsid w:val="00307364"/>
    <w:rsid w:val="00315692"/>
    <w:rsid w:val="00356EAD"/>
    <w:rsid w:val="003B011F"/>
    <w:rsid w:val="003C0400"/>
    <w:rsid w:val="003C50B9"/>
    <w:rsid w:val="003D1808"/>
    <w:rsid w:val="003E6776"/>
    <w:rsid w:val="0040317E"/>
    <w:rsid w:val="0043184F"/>
    <w:rsid w:val="00433C3C"/>
    <w:rsid w:val="00462954"/>
    <w:rsid w:val="00486CA7"/>
    <w:rsid w:val="00486D7D"/>
    <w:rsid w:val="004960B9"/>
    <w:rsid w:val="004B1E29"/>
    <w:rsid w:val="004B6471"/>
    <w:rsid w:val="004E51A8"/>
    <w:rsid w:val="004E5CDB"/>
    <w:rsid w:val="004F3519"/>
    <w:rsid w:val="00513759"/>
    <w:rsid w:val="0051451E"/>
    <w:rsid w:val="005266A2"/>
    <w:rsid w:val="005329C6"/>
    <w:rsid w:val="00572699"/>
    <w:rsid w:val="005A1F93"/>
    <w:rsid w:val="005A4439"/>
    <w:rsid w:val="005B04D9"/>
    <w:rsid w:val="005B336F"/>
    <w:rsid w:val="005D35A5"/>
    <w:rsid w:val="005F0883"/>
    <w:rsid w:val="00603B6D"/>
    <w:rsid w:val="00616C4B"/>
    <w:rsid w:val="00621331"/>
    <w:rsid w:val="00630C9B"/>
    <w:rsid w:val="00680EC9"/>
    <w:rsid w:val="00696F24"/>
    <w:rsid w:val="006B606A"/>
    <w:rsid w:val="006D1381"/>
    <w:rsid w:val="006F772A"/>
    <w:rsid w:val="00715E9E"/>
    <w:rsid w:val="00716CB4"/>
    <w:rsid w:val="00736C5E"/>
    <w:rsid w:val="00737B24"/>
    <w:rsid w:val="00751B1E"/>
    <w:rsid w:val="007A112D"/>
    <w:rsid w:val="007D5227"/>
    <w:rsid w:val="007E0488"/>
    <w:rsid w:val="007F29EA"/>
    <w:rsid w:val="007F5507"/>
    <w:rsid w:val="008646AA"/>
    <w:rsid w:val="009174A3"/>
    <w:rsid w:val="00927E7F"/>
    <w:rsid w:val="00940A20"/>
    <w:rsid w:val="00983EDC"/>
    <w:rsid w:val="009A39FF"/>
    <w:rsid w:val="009E14A8"/>
    <w:rsid w:val="00A33D8A"/>
    <w:rsid w:val="00A34C27"/>
    <w:rsid w:val="00A54A51"/>
    <w:rsid w:val="00A55C78"/>
    <w:rsid w:val="00A57A24"/>
    <w:rsid w:val="00AA7D4A"/>
    <w:rsid w:val="00AD3EA2"/>
    <w:rsid w:val="00B23DDA"/>
    <w:rsid w:val="00B360F9"/>
    <w:rsid w:val="00B5628F"/>
    <w:rsid w:val="00BA06D8"/>
    <w:rsid w:val="00C342B0"/>
    <w:rsid w:val="00C5131E"/>
    <w:rsid w:val="00C9480E"/>
    <w:rsid w:val="00CA109F"/>
    <w:rsid w:val="00CA5506"/>
    <w:rsid w:val="00CB43AE"/>
    <w:rsid w:val="00CD2B20"/>
    <w:rsid w:val="00CD3682"/>
    <w:rsid w:val="00CF5297"/>
    <w:rsid w:val="00D35A6F"/>
    <w:rsid w:val="00D60D16"/>
    <w:rsid w:val="00D73251"/>
    <w:rsid w:val="00D97F35"/>
    <w:rsid w:val="00DA18CA"/>
    <w:rsid w:val="00DB11A8"/>
    <w:rsid w:val="00DB14E8"/>
    <w:rsid w:val="00DB677B"/>
    <w:rsid w:val="00DE091A"/>
    <w:rsid w:val="00DF5DA8"/>
    <w:rsid w:val="00E17AAE"/>
    <w:rsid w:val="00E247CE"/>
    <w:rsid w:val="00E26AD8"/>
    <w:rsid w:val="00E329FB"/>
    <w:rsid w:val="00E330A9"/>
    <w:rsid w:val="00E54E89"/>
    <w:rsid w:val="00E7114A"/>
    <w:rsid w:val="00E71171"/>
    <w:rsid w:val="00E75B4F"/>
    <w:rsid w:val="00EB46D3"/>
    <w:rsid w:val="00EC2F69"/>
    <w:rsid w:val="00F12390"/>
    <w:rsid w:val="00F13ECD"/>
    <w:rsid w:val="00F40B31"/>
    <w:rsid w:val="00F53EDA"/>
    <w:rsid w:val="00FA7CD4"/>
    <w:rsid w:val="00FB169A"/>
    <w:rsid w:val="00FB2432"/>
    <w:rsid w:val="00FE1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DC60"/>
  <w15:docId w15:val="{B8FC7F4D-FD94-42E5-9E14-EE205232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A4439"/>
    <w:pPr>
      <w:tabs>
        <w:tab w:val="center" w:pos="4680"/>
        <w:tab w:val="right" w:pos="9360"/>
      </w:tabs>
      <w:spacing w:line="240" w:lineRule="auto"/>
    </w:pPr>
  </w:style>
  <w:style w:type="character" w:customStyle="1" w:styleId="HeaderChar">
    <w:name w:val="Header Char"/>
    <w:basedOn w:val="DefaultParagraphFont"/>
    <w:link w:val="Header"/>
    <w:uiPriority w:val="99"/>
    <w:rsid w:val="005A4439"/>
  </w:style>
  <w:style w:type="paragraph" w:styleId="Footer">
    <w:name w:val="footer"/>
    <w:basedOn w:val="Normal"/>
    <w:link w:val="FooterChar"/>
    <w:uiPriority w:val="99"/>
    <w:unhideWhenUsed/>
    <w:rsid w:val="005A4439"/>
    <w:pPr>
      <w:tabs>
        <w:tab w:val="center" w:pos="4680"/>
        <w:tab w:val="right" w:pos="9360"/>
      </w:tabs>
      <w:spacing w:line="240" w:lineRule="auto"/>
    </w:pPr>
  </w:style>
  <w:style w:type="character" w:customStyle="1" w:styleId="FooterChar">
    <w:name w:val="Footer Char"/>
    <w:basedOn w:val="DefaultParagraphFont"/>
    <w:link w:val="Footer"/>
    <w:uiPriority w:val="99"/>
    <w:rsid w:val="005A4439"/>
  </w:style>
  <w:style w:type="paragraph" w:styleId="ListParagraph">
    <w:name w:val="List Paragraph"/>
    <w:basedOn w:val="Normal"/>
    <w:uiPriority w:val="34"/>
    <w:qFormat/>
    <w:rsid w:val="00E75B4F"/>
    <w:pPr>
      <w:ind w:left="720"/>
      <w:contextualSpacing/>
    </w:pPr>
  </w:style>
  <w:style w:type="character" w:styleId="Hyperlink">
    <w:name w:val="Hyperlink"/>
    <w:basedOn w:val="DefaultParagraphFont"/>
    <w:uiPriority w:val="99"/>
    <w:unhideWhenUsed/>
    <w:rsid w:val="001F423C"/>
    <w:rPr>
      <w:color w:val="0000FF" w:themeColor="hyperlink"/>
      <w:u w:val="single"/>
    </w:rPr>
  </w:style>
  <w:style w:type="character" w:styleId="UnresolvedMention">
    <w:name w:val="Unresolved Mention"/>
    <w:basedOn w:val="DefaultParagraphFont"/>
    <w:uiPriority w:val="99"/>
    <w:semiHidden/>
    <w:unhideWhenUsed/>
    <w:rsid w:val="001F423C"/>
    <w:rPr>
      <w:color w:val="605E5C"/>
      <w:shd w:val="clear" w:color="auto" w:fill="E1DFDD"/>
    </w:rPr>
  </w:style>
  <w:style w:type="character" w:styleId="FollowedHyperlink">
    <w:name w:val="FollowedHyperlink"/>
    <w:basedOn w:val="DefaultParagraphFont"/>
    <w:uiPriority w:val="99"/>
    <w:semiHidden/>
    <w:unhideWhenUsed/>
    <w:rsid w:val="00C342B0"/>
    <w:rPr>
      <w:color w:val="800080" w:themeColor="followedHyperlink"/>
      <w:u w:val="single"/>
    </w:rPr>
  </w:style>
  <w:style w:type="paragraph" w:styleId="Revision">
    <w:name w:val="Revision"/>
    <w:hidden/>
    <w:uiPriority w:val="99"/>
    <w:semiHidden/>
    <w:rsid w:val="00B23DDA"/>
    <w:pPr>
      <w:spacing w:line="240" w:lineRule="auto"/>
    </w:pPr>
  </w:style>
  <w:style w:type="character" w:styleId="CommentReference">
    <w:name w:val="annotation reference"/>
    <w:basedOn w:val="DefaultParagraphFont"/>
    <w:uiPriority w:val="99"/>
    <w:semiHidden/>
    <w:unhideWhenUsed/>
    <w:rsid w:val="00B23DDA"/>
    <w:rPr>
      <w:sz w:val="16"/>
      <w:szCs w:val="16"/>
    </w:rPr>
  </w:style>
  <w:style w:type="paragraph" w:styleId="CommentText">
    <w:name w:val="annotation text"/>
    <w:basedOn w:val="Normal"/>
    <w:link w:val="CommentTextChar"/>
    <w:uiPriority w:val="99"/>
    <w:unhideWhenUsed/>
    <w:rsid w:val="00B23DDA"/>
    <w:pPr>
      <w:spacing w:line="240" w:lineRule="auto"/>
    </w:pPr>
    <w:rPr>
      <w:sz w:val="20"/>
      <w:szCs w:val="20"/>
    </w:rPr>
  </w:style>
  <w:style w:type="character" w:customStyle="1" w:styleId="CommentTextChar">
    <w:name w:val="Comment Text Char"/>
    <w:basedOn w:val="DefaultParagraphFont"/>
    <w:link w:val="CommentText"/>
    <w:uiPriority w:val="99"/>
    <w:rsid w:val="00B23DDA"/>
    <w:rPr>
      <w:sz w:val="20"/>
      <w:szCs w:val="20"/>
    </w:rPr>
  </w:style>
  <w:style w:type="paragraph" w:styleId="CommentSubject">
    <w:name w:val="annotation subject"/>
    <w:basedOn w:val="CommentText"/>
    <w:next w:val="CommentText"/>
    <w:link w:val="CommentSubjectChar"/>
    <w:uiPriority w:val="99"/>
    <w:semiHidden/>
    <w:unhideWhenUsed/>
    <w:rsid w:val="00B23DDA"/>
    <w:rPr>
      <w:b/>
      <w:bCs/>
    </w:rPr>
  </w:style>
  <w:style w:type="character" w:customStyle="1" w:styleId="CommentSubjectChar">
    <w:name w:val="Comment Subject Char"/>
    <w:basedOn w:val="CommentTextChar"/>
    <w:link w:val="CommentSubject"/>
    <w:uiPriority w:val="99"/>
    <w:semiHidden/>
    <w:rsid w:val="00B23D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275">
      <w:bodyDiv w:val="1"/>
      <w:marLeft w:val="0"/>
      <w:marRight w:val="0"/>
      <w:marTop w:val="0"/>
      <w:marBottom w:val="0"/>
      <w:divBdr>
        <w:top w:val="none" w:sz="0" w:space="0" w:color="auto"/>
        <w:left w:val="none" w:sz="0" w:space="0" w:color="auto"/>
        <w:bottom w:val="none" w:sz="0" w:space="0" w:color="auto"/>
        <w:right w:val="none" w:sz="0" w:space="0" w:color="auto"/>
      </w:divBdr>
      <w:divsChild>
        <w:div w:id="1921523808">
          <w:marLeft w:val="0"/>
          <w:marRight w:val="0"/>
          <w:marTop w:val="0"/>
          <w:marBottom w:val="0"/>
          <w:divBdr>
            <w:top w:val="none" w:sz="0" w:space="0" w:color="auto"/>
            <w:left w:val="none" w:sz="0" w:space="0" w:color="auto"/>
            <w:bottom w:val="none" w:sz="0" w:space="0" w:color="auto"/>
            <w:right w:val="none" w:sz="0" w:space="0" w:color="auto"/>
          </w:divBdr>
        </w:div>
        <w:div w:id="37709357">
          <w:marLeft w:val="0"/>
          <w:marRight w:val="0"/>
          <w:marTop w:val="0"/>
          <w:marBottom w:val="0"/>
          <w:divBdr>
            <w:top w:val="none" w:sz="0" w:space="0" w:color="auto"/>
            <w:left w:val="none" w:sz="0" w:space="0" w:color="auto"/>
            <w:bottom w:val="none" w:sz="0" w:space="0" w:color="auto"/>
            <w:right w:val="none" w:sz="0" w:space="0" w:color="auto"/>
          </w:divBdr>
        </w:div>
      </w:divsChild>
    </w:div>
    <w:div w:id="1030762010">
      <w:bodyDiv w:val="1"/>
      <w:marLeft w:val="0"/>
      <w:marRight w:val="0"/>
      <w:marTop w:val="0"/>
      <w:marBottom w:val="0"/>
      <w:divBdr>
        <w:top w:val="none" w:sz="0" w:space="0" w:color="auto"/>
        <w:left w:val="none" w:sz="0" w:space="0" w:color="auto"/>
        <w:bottom w:val="none" w:sz="0" w:space="0" w:color="auto"/>
        <w:right w:val="none" w:sz="0" w:space="0" w:color="auto"/>
      </w:divBdr>
    </w:div>
    <w:div w:id="1100225089">
      <w:bodyDiv w:val="1"/>
      <w:marLeft w:val="0"/>
      <w:marRight w:val="0"/>
      <w:marTop w:val="0"/>
      <w:marBottom w:val="0"/>
      <w:divBdr>
        <w:top w:val="none" w:sz="0" w:space="0" w:color="auto"/>
        <w:left w:val="none" w:sz="0" w:space="0" w:color="auto"/>
        <w:bottom w:val="none" w:sz="0" w:space="0" w:color="auto"/>
        <w:right w:val="none" w:sz="0" w:space="0" w:color="auto"/>
      </w:divBdr>
      <w:divsChild>
        <w:div w:id="2072998133">
          <w:marLeft w:val="0"/>
          <w:marRight w:val="0"/>
          <w:marTop w:val="0"/>
          <w:marBottom w:val="0"/>
          <w:divBdr>
            <w:top w:val="none" w:sz="0" w:space="0" w:color="auto"/>
            <w:left w:val="none" w:sz="0" w:space="0" w:color="auto"/>
            <w:bottom w:val="none" w:sz="0" w:space="0" w:color="auto"/>
            <w:right w:val="none" w:sz="0" w:space="0" w:color="auto"/>
          </w:divBdr>
        </w:div>
        <w:div w:id="579021149">
          <w:marLeft w:val="0"/>
          <w:marRight w:val="0"/>
          <w:marTop w:val="0"/>
          <w:marBottom w:val="0"/>
          <w:divBdr>
            <w:top w:val="none" w:sz="0" w:space="0" w:color="auto"/>
            <w:left w:val="none" w:sz="0" w:space="0" w:color="auto"/>
            <w:bottom w:val="none" w:sz="0" w:space="0" w:color="auto"/>
            <w:right w:val="none" w:sz="0" w:space="0" w:color="auto"/>
          </w:divBdr>
        </w:div>
        <w:div w:id="1836719830">
          <w:marLeft w:val="0"/>
          <w:marRight w:val="0"/>
          <w:marTop w:val="0"/>
          <w:marBottom w:val="0"/>
          <w:divBdr>
            <w:top w:val="none" w:sz="0" w:space="0" w:color="auto"/>
            <w:left w:val="none" w:sz="0" w:space="0" w:color="auto"/>
            <w:bottom w:val="none" w:sz="0" w:space="0" w:color="auto"/>
            <w:right w:val="none" w:sz="0" w:space="0" w:color="auto"/>
          </w:divBdr>
        </w:div>
        <w:div w:id="1738287243">
          <w:marLeft w:val="0"/>
          <w:marRight w:val="0"/>
          <w:marTop w:val="0"/>
          <w:marBottom w:val="0"/>
          <w:divBdr>
            <w:top w:val="none" w:sz="0" w:space="0" w:color="auto"/>
            <w:left w:val="none" w:sz="0" w:space="0" w:color="auto"/>
            <w:bottom w:val="none" w:sz="0" w:space="0" w:color="auto"/>
            <w:right w:val="none" w:sz="0" w:space="0" w:color="auto"/>
          </w:divBdr>
          <w:divsChild>
            <w:div w:id="34354673">
              <w:marLeft w:val="0"/>
              <w:marRight w:val="0"/>
              <w:marTop w:val="0"/>
              <w:marBottom w:val="0"/>
              <w:divBdr>
                <w:top w:val="none" w:sz="0" w:space="0" w:color="auto"/>
                <w:left w:val="none" w:sz="0" w:space="0" w:color="auto"/>
                <w:bottom w:val="none" w:sz="0" w:space="0" w:color="auto"/>
                <w:right w:val="none" w:sz="0" w:space="0" w:color="auto"/>
              </w:divBdr>
            </w:div>
          </w:divsChild>
        </w:div>
        <w:div w:id="1957904607">
          <w:marLeft w:val="0"/>
          <w:marRight w:val="0"/>
          <w:marTop w:val="0"/>
          <w:marBottom w:val="0"/>
          <w:divBdr>
            <w:top w:val="none" w:sz="0" w:space="0" w:color="auto"/>
            <w:left w:val="none" w:sz="0" w:space="0" w:color="auto"/>
            <w:bottom w:val="none" w:sz="0" w:space="0" w:color="auto"/>
            <w:right w:val="none" w:sz="0" w:space="0" w:color="auto"/>
          </w:divBdr>
        </w:div>
      </w:divsChild>
    </w:div>
    <w:div w:id="1671517139">
      <w:bodyDiv w:val="1"/>
      <w:marLeft w:val="0"/>
      <w:marRight w:val="0"/>
      <w:marTop w:val="0"/>
      <w:marBottom w:val="0"/>
      <w:divBdr>
        <w:top w:val="none" w:sz="0" w:space="0" w:color="auto"/>
        <w:left w:val="none" w:sz="0" w:space="0" w:color="auto"/>
        <w:bottom w:val="none" w:sz="0" w:space="0" w:color="auto"/>
        <w:right w:val="none" w:sz="0" w:space="0" w:color="auto"/>
      </w:divBdr>
      <w:divsChild>
        <w:div w:id="1548026727">
          <w:marLeft w:val="0"/>
          <w:marRight w:val="0"/>
          <w:marTop w:val="0"/>
          <w:marBottom w:val="0"/>
          <w:divBdr>
            <w:top w:val="none" w:sz="0" w:space="0" w:color="auto"/>
            <w:left w:val="none" w:sz="0" w:space="0" w:color="auto"/>
            <w:bottom w:val="none" w:sz="0" w:space="0" w:color="auto"/>
            <w:right w:val="none" w:sz="0" w:space="0" w:color="auto"/>
          </w:divBdr>
        </w:div>
        <w:div w:id="1671718459">
          <w:marLeft w:val="0"/>
          <w:marRight w:val="0"/>
          <w:marTop w:val="0"/>
          <w:marBottom w:val="0"/>
          <w:divBdr>
            <w:top w:val="none" w:sz="0" w:space="0" w:color="auto"/>
            <w:left w:val="none" w:sz="0" w:space="0" w:color="auto"/>
            <w:bottom w:val="none" w:sz="0" w:space="0" w:color="auto"/>
            <w:right w:val="none" w:sz="0" w:space="0" w:color="auto"/>
          </w:divBdr>
        </w:div>
        <w:div w:id="483013752">
          <w:marLeft w:val="0"/>
          <w:marRight w:val="0"/>
          <w:marTop w:val="0"/>
          <w:marBottom w:val="0"/>
          <w:divBdr>
            <w:top w:val="none" w:sz="0" w:space="0" w:color="auto"/>
            <w:left w:val="none" w:sz="0" w:space="0" w:color="auto"/>
            <w:bottom w:val="none" w:sz="0" w:space="0" w:color="auto"/>
            <w:right w:val="none" w:sz="0" w:space="0" w:color="auto"/>
          </w:divBdr>
        </w:div>
        <w:div w:id="1822572900">
          <w:marLeft w:val="0"/>
          <w:marRight w:val="0"/>
          <w:marTop w:val="0"/>
          <w:marBottom w:val="0"/>
          <w:divBdr>
            <w:top w:val="none" w:sz="0" w:space="0" w:color="auto"/>
            <w:left w:val="none" w:sz="0" w:space="0" w:color="auto"/>
            <w:bottom w:val="none" w:sz="0" w:space="0" w:color="auto"/>
            <w:right w:val="none" w:sz="0" w:space="0" w:color="auto"/>
          </w:divBdr>
          <w:divsChild>
            <w:div w:id="2137720592">
              <w:marLeft w:val="0"/>
              <w:marRight w:val="0"/>
              <w:marTop w:val="0"/>
              <w:marBottom w:val="0"/>
              <w:divBdr>
                <w:top w:val="none" w:sz="0" w:space="0" w:color="auto"/>
                <w:left w:val="none" w:sz="0" w:space="0" w:color="auto"/>
                <w:bottom w:val="none" w:sz="0" w:space="0" w:color="auto"/>
                <w:right w:val="none" w:sz="0" w:space="0" w:color="auto"/>
              </w:divBdr>
            </w:div>
          </w:divsChild>
        </w:div>
        <w:div w:id="6205718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DD1EF-FF36-4F2A-90FC-D3ED84D95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Soule</dc:creator>
  <cp:lastModifiedBy>Holly Soule</cp:lastModifiedBy>
  <cp:revision>13</cp:revision>
  <dcterms:created xsi:type="dcterms:W3CDTF">2024-12-04T14:45:00Z</dcterms:created>
  <dcterms:modified xsi:type="dcterms:W3CDTF">2024-12-10T17:32:00Z</dcterms:modified>
</cp:coreProperties>
</file>