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F9268" w14:textId="53B15AED" w:rsidR="00D17172" w:rsidRPr="00AB7AF8" w:rsidRDefault="003316E2" w:rsidP="00F60126">
      <w:pPr>
        <w:rPr>
          <w:rFonts w:ascii="Lato Light" w:hAnsi="Lato Light"/>
          <w:b/>
          <w:bCs/>
        </w:rPr>
      </w:pPr>
      <w:r w:rsidRPr="00AB7AF8">
        <w:rPr>
          <w:rFonts w:ascii="Lato Light" w:hAnsi="Lato Light"/>
          <w:b/>
          <w:bCs/>
        </w:rPr>
        <w:t>Hot Topics:</w:t>
      </w:r>
    </w:p>
    <w:p w14:paraId="50EC4CEB" w14:textId="77777777" w:rsidR="00A43337" w:rsidRPr="00AB7AF8" w:rsidRDefault="00A43337" w:rsidP="00A43337">
      <w:pPr>
        <w:spacing w:after="0" w:line="240" w:lineRule="auto"/>
        <w:rPr>
          <w:rFonts w:ascii="Lato Light" w:hAnsi="Lato Light"/>
          <w:b/>
          <w:bCs/>
        </w:rPr>
      </w:pPr>
      <w:bookmarkStart w:id="0" w:name="_Hlk172711326"/>
      <w:r w:rsidRPr="00AB7AF8">
        <w:rPr>
          <w:rFonts w:ascii="Lato Light" w:hAnsi="Lato Light"/>
          <w:b/>
          <w:bCs/>
        </w:rPr>
        <w:t>Attestations for Gag Clause Prohibition Compliance Due to CMS by December 31, 2024</w:t>
      </w:r>
    </w:p>
    <w:p w14:paraId="144FB5C1" w14:textId="77777777" w:rsidR="00A43337" w:rsidRPr="00AB7AF8" w:rsidRDefault="00A43337" w:rsidP="00A43337">
      <w:pPr>
        <w:spacing w:after="0" w:line="240" w:lineRule="auto"/>
        <w:rPr>
          <w:rFonts w:ascii="Lato Light" w:hAnsi="Lato Light"/>
          <w:b/>
          <w:bCs/>
        </w:rPr>
      </w:pPr>
    </w:p>
    <w:p w14:paraId="50FC738C" w14:textId="7B92D246" w:rsidR="00A43337" w:rsidRPr="00AB7AF8" w:rsidRDefault="00A43337" w:rsidP="00A43337">
      <w:pPr>
        <w:spacing w:after="0" w:line="240" w:lineRule="auto"/>
        <w:rPr>
          <w:rFonts w:ascii="Lato Light" w:hAnsi="Lato Light"/>
        </w:rPr>
      </w:pPr>
      <w:r w:rsidRPr="00AB7AF8">
        <w:rPr>
          <w:rFonts w:ascii="Lato Light" w:hAnsi="Lato Light"/>
        </w:rPr>
        <w:t xml:space="preserve">The Departments issued joint </w:t>
      </w:r>
      <w:hyperlink r:id="rId5" w:history="1">
        <w:r w:rsidR="00814D57">
          <w:rPr>
            <w:rStyle w:val="Hyperlink"/>
            <w:rFonts w:ascii="Lato Light" w:hAnsi="Lato Light"/>
          </w:rPr>
          <w:t>FAQ Gui</w:t>
        </w:r>
        <w:r w:rsidR="00814D57">
          <w:rPr>
            <w:rStyle w:val="Hyperlink"/>
            <w:rFonts w:ascii="Lato Light" w:hAnsi="Lato Light"/>
          </w:rPr>
          <w:t>d</w:t>
        </w:r>
        <w:r w:rsidR="00814D57">
          <w:rPr>
            <w:rStyle w:val="Hyperlink"/>
            <w:rFonts w:ascii="Lato Light" w:hAnsi="Lato Light"/>
          </w:rPr>
          <w:t>ance</w:t>
        </w:r>
      </w:hyperlink>
      <w:r w:rsidRPr="00AB7AF8">
        <w:rPr>
          <w:rFonts w:ascii="Lato Light" w:hAnsi="Lato Light"/>
        </w:rPr>
        <w:t xml:space="preserve"> related to compliance with the prohibition of “gag clauses” as required under the Consolidated Appropriations Act of 2021 (CAA). Specifically, the rules require plans and issuers to submit a compliance attestation no later than December 31, 2024 and </w:t>
      </w:r>
      <w:r w:rsidR="00C059DE">
        <w:rPr>
          <w:rFonts w:ascii="Lato Light" w:hAnsi="Lato Light"/>
        </w:rPr>
        <w:t>annually each year</w:t>
      </w:r>
      <w:r w:rsidRPr="00AB7AF8">
        <w:rPr>
          <w:rFonts w:ascii="Lato Light" w:hAnsi="Lato Light"/>
        </w:rPr>
        <w:t xml:space="preserve"> by December 31</w:t>
      </w:r>
      <w:r w:rsidRPr="00AB7AF8">
        <w:rPr>
          <w:rFonts w:ascii="Lato Light" w:hAnsi="Lato Light"/>
          <w:vertAlign w:val="superscript"/>
        </w:rPr>
        <w:t>st</w:t>
      </w:r>
      <w:r w:rsidRPr="00AB7AF8">
        <w:rPr>
          <w:rFonts w:ascii="Lato Light" w:hAnsi="Lato Light"/>
        </w:rPr>
        <w:t>.</w:t>
      </w:r>
    </w:p>
    <w:p w14:paraId="7FE991CE" w14:textId="77777777" w:rsidR="00A43337" w:rsidRPr="00AB7AF8" w:rsidRDefault="00A43337" w:rsidP="00A43337">
      <w:pPr>
        <w:spacing w:after="0" w:line="240" w:lineRule="auto"/>
        <w:rPr>
          <w:rFonts w:ascii="Lato Light" w:hAnsi="Lato Light"/>
        </w:rPr>
      </w:pPr>
    </w:p>
    <w:p w14:paraId="3E8B84C5" w14:textId="628EAEC7" w:rsidR="00A43337" w:rsidRPr="00AB7AF8" w:rsidRDefault="00A43337" w:rsidP="00A43337">
      <w:pPr>
        <w:spacing w:after="0" w:line="240" w:lineRule="auto"/>
        <w:rPr>
          <w:rFonts w:ascii="Lato Light" w:hAnsi="Lato Light"/>
          <w:b/>
          <w:bCs/>
        </w:rPr>
      </w:pPr>
      <w:r w:rsidRPr="00AB7AF8">
        <w:rPr>
          <w:rFonts w:ascii="Lato Light" w:hAnsi="Lato Light"/>
        </w:rPr>
        <w:t xml:space="preserve"> </w:t>
      </w:r>
      <w:bookmarkStart w:id="1" w:name="_Hlk180995670"/>
      <w:bookmarkStart w:id="2" w:name="_Hlk175896547"/>
      <w:r w:rsidR="00DD266E">
        <w:rPr>
          <w:rFonts w:ascii="Lato Light" w:hAnsi="Lato Light"/>
          <w:b/>
          <w:bCs/>
        </w:rPr>
        <w:t>Applies To</w:t>
      </w:r>
      <w:r w:rsidRPr="00AB7AF8">
        <w:rPr>
          <w:rFonts w:ascii="Lato Light" w:hAnsi="Lato Light"/>
          <w:b/>
          <w:bCs/>
        </w:rPr>
        <w:t xml:space="preserve">: </w:t>
      </w:r>
    </w:p>
    <w:p w14:paraId="09715A01" w14:textId="77777777" w:rsidR="00A43337" w:rsidRPr="00AB7AF8" w:rsidRDefault="00A43337" w:rsidP="00A43337">
      <w:pPr>
        <w:numPr>
          <w:ilvl w:val="0"/>
          <w:numId w:val="16"/>
        </w:numPr>
        <w:spacing w:after="0" w:line="240" w:lineRule="auto"/>
        <w:rPr>
          <w:rFonts w:ascii="Lato Light" w:hAnsi="Lato Light"/>
        </w:rPr>
      </w:pPr>
      <w:r w:rsidRPr="00AB7AF8">
        <w:rPr>
          <w:rFonts w:ascii="Lato Light" w:hAnsi="Lato Light"/>
        </w:rPr>
        <w:t xml:space="preserve">Large employers with fully-insured and self-funded health plans </w:t>
      </w:r>
    </w:p>
    <w:p w14:paraId="5C968312" w14:textId="77777777" w:rsidR="00A43337" w:rsidRDefault="00A43337" w:rsidP="00A43337">
      <w:pPr>
        <w:numPr>
          <w:ilvl w:val="0"/>
          <w:numId w:val="16"/>
        </w:numPr>
        <w:spacing w:after="0" w:line="240" w:lineRule="auto"/>
        <w:rPr>
          <w:rFonts w:ascii="Lato Light" w:hAnsi="Lato Light"/>
        </w:rPr>
      </w:pPr>
      <w:r w:rsidRPr="00AB7AF8">
        <w:rPr>
          <w:rFonts w:ascii="Lato Light" w:hAnsi="Lato Light"/>
        </w:rPr>
        <w:t>Small employers with fully-insured and level-funded health plans</w:t>
      </w:r>
    </w:p>
    <w:p w14:paraId="690AF33D" w14:textId="77777777" w:rsidR="00B2773D" w:rsidRDefault="00792453" w:rsidP="00A43337">
      <w:pPr>
        <w:numPr>
          <w:ilvl w:val="0"/>
          <w:numId w:val="16"/>
        </w:numPr>
        <w:spacing w:after="0" w:line="240" w:lineRule="auto"/>
        <w:rPr>
          <w:rFonts w:ascii="Lato Light" w:hAnsi="Lato Light"/>
        </w:rPr>
      </w:pPr>
      <w:r>
        <w:rPr>
          <w:rFonts w:ascii="Lato Light" w:hAnsi="Lato Light"/>
        </w:rPr>
        <w:t xml:space="preserve">Exempt: </w:t>
      </w:r>
    </w:p>
    <w:p w14:paraId="353838DF" w14:textId="47B45397" w:rsidR="00B2773D" w:rsidRDefault="002700BD" w:rsidP="00B2773D">
      <w:pPr>
        <w:numPr>
          <w:ilvl w:val="1"/>
          <w:numId w:val="16"/>
        </w:numPr>
        <w:spacing w:after="0" w:line="240" w:lineRule="auto"/>
        <w:rPr>
          <w:rFonts w:ascii="Lato Light" w:hAnsi="Lato Light"/>
        </w:rPr>
      </w:pPr>
      <w:r>
        <w:rPr>
          <w:rFonts w:ascii="Lato Light" w:hAnsi="Lato Light"/>
        </w:rPr>
        <w:t>Account-based plans such as FSA, HRA</w:t>
      </w:r>
      <w:r w:rsidR="00814D57">
        <w:rPr>
          <w:rFonts w:ascii="Lato Light" w:hAnsi="Lato Light"/>
        </w:rPr>
        <w:t xml:space="preserve"> </w:t>
      </w:r>
      <w:r>
        <w:rPr>
          <w:rFonts w:ascii="Lato Light" w:hAnsi="Lato Light"/>
        </w:rPr>
        <w:t>and ICHRA</w:t>
      </w:r>
    </w:p>
    <w:p w14:paraId="76CFCC9E" w14:textId="6E8478F6" w:rsidR="00792453" w:rsidRPr="00AB7AF8" w:rsidRDefault="00B2773D" w:rsidP="00B2773D">
      <w:pPr>
        <w:numPr>
          <w:ilvl w:val="1"/>
          <w:numId w:val="16"/>
        </w:numPr>
        <w:spacing w:after="0" w:line="240" w:lineRule="auto"/>
        <w:rPr>
          <w:rFonts w:ascii="Lato Light" w:hAnsi="Lato Light"/>
        </w:rPr>
      </w:pPr>
      <w:r>
        <w:rPr>
          <w:rFonts w:ascii="Lato Light" w:hAnsi="Lato Light"/>
        </w:rPr>
        <w:t>P</w:t>
      </w:r>
      <w:r w:rsidR="002700BD" w:rsidRPr="00FA08BA">
        <w:rPr>
          <w:rFonts w:ascii="Lato Light" w:hAnsi="Lato Light"/>
        </w:rPr>
        <w:t xml:space="preserve">lans offering only </w:t>
      </w:r>
      <w:r w:rsidR="002700BD" w:rsidRPr="00CD125E">
        <w:rPr>
          <w:rFonts w:ascii="Lato Light" w:hAnsi="Lato Light"/>
        </w:rPr>
        <w:t>e</w:t>
      </w:r>
      <w:r w:rsidR="00792453" w:rsidRPr="00CD125E">
        <w:rPr>
          <w:rFonts w:ascii="Lato Light" w:hAnsi="Lato Light"/>
        </w:rPr>
        <w:t>xcepted benefits</w:t>
      </w:r>
      <w:r>
        <w:rPr>
          <w:rFonts w:ascii="Lato Light" w:hAnsi="Lato Light"/>
        </w:rPr>
        <w:t xml:space="preserve">, </w:t>
      </w:r>
      <w:r w:rsidR="002700BD" w:rsidRPr="00FA08BA">
        <w:rPr>
          <w:rFonts w:ascii="Lato Light" w:hAnsi="Lato Light"/>
        </w:rPr>
        <w:t>such as</w:t>
      </w:r>
      <w:r w:rsidR="00792453" w:rsidRPr="00FA08BA">
        <w:rPr>
          <w:rFonts w:ascii="Lato Light" w:hAnsi="Lato Light"/>
        </w:rPr>
        <w:t xml:space="preserve"> standalone dental</w:t>
      </w:r>
      <w:r w:rsidR="002700BD" w:rsidRPr="00FA08BA">
        <w:rPr>
          <w:rFonts w:ascii="Lato Light" w:hAnsi="Lato Light"/>
        </w:rPr>
        <w:t>/</w:t>
      </w:r>
      <w:r w:rsidR="00792453" w:rsidRPr="00FA08BA">
        <w:rPr>
          <w:rFonts w:ascii="Lato Light" w:hAnsi="Lato Light"/>
        </w:rPr>
        <w:t>vision, on</w:t>
      </w:r>
      <w:r w:rsidR="00FA08BA" w:rsidRPr="00FA08BA">
        <w:rPr>
          <w:rFonts w:ascii="Lato Light" w:hAnsi="Lato Light"/>
        </w:rPr>
        <w:t>-</w:t>
      </w:r>
      <w:r w:rsidR="00792453" w:rsidRPr="00FA08BA">
        <w:rPr>
          <w:rFonts w:ascii="Lato Light" w:hAnsi="Lato Light"/>
        </w:rPr>
        <w:t xml:space="preserve">site clinic, </w:t>
      </w:r>
      <w:r w:rsidR="002700BD">
        <w:rPr>
          <w:rFonts w:ascii="Lato Light" w:hAnsi="Lato Light"/>
        </w:rPr>
        <w:t xml:space="preserve">retiree-only, </w:t>
      </w:r>
      <w:r w:rsidR="001733CF">
        <w:rPr>
          <w:rFonts w:ascii="Lato Light" w:hAnsi="Lato Light"/>
        </w:rPr>
        <w:t>fixed indemnity</w:t>
      </w:r>
      <w:r w:rsidR="002700BD">
        <w:rPr>
          <w:rFonts w:ascii="Lato Light" w:hAnsi="Lato Light"/>
        </w:rPr>
        <w:t>, EAP, etc.</w:t>
      </w:r>
    </w:p>
    <w:bookmarkEnd w:id="0"/>
    <w:bookmarkEnd w:id="1"/>
    <w:p w14:paraId="152F37E9" w14:textId="77777777" w:rsidR="00A43337" w:rsidRPr="00AB7AF8" w:rsidRDefault="00A43337" w:rsidP="00A43337">
      <w:pPr>
        <w:spacing w:after="0" w:line="240" w:lineRule="auto"/>
        <w:rPr>
          <w:rFonts w:ascii="Lato Light" w:hAnsi="Lato Light"/>
        </w:rPr>
      </w:pPr>
    </w:p>
    <w:p w14:paraId="4F80AE79" w14:textId="77777777" w:rsidR="00A43337" w:rsidRPr="00AB7AF8" w:rsidRDefault="00A43337" w:rsidP="00A43337">
      <w:pPr>
        <w:spacing w:after="0" w:line="240" w:lineRule="auto"/>
        <w:rPr>
          <w:rFonts w:ascii="Lato Light" w:hAnsi="Lato Light"/>
          <w:b/>
          <w:bCs/>
        </w:rPr>
      </w:pPr>
      <w:r w:rsidRPr="00AB7AF8">
        <w:rPr>
          <w:rFonts w:ascii="Lato Light" w:hAnsi="Lato Light"/>
          <w:b/>
          <w:bCs/>
        </w:rPr>
        <w:t>Go Deeper:</w:t>
      </w:r>
    </w:p>
    <w:bookmarkEnd w:id="2"/>
    <w:p w14:paraId="16B24714" w14:textId="77777777" w:rsidR="00A43337" w:rsidRPr="00AB7AF8" w:rsidRDefault="00A43337" w:rsidP="00A43337">
      <w:pPr>
        <w:spacing w:after="0" w:line="240" w:lineRule="auto"/>
        <w:rPr>
          <w:rFonts w:ascii="Lato Light" w:hAnsi="Lato Light"/>
        </w:rPr>
      </w:pPr>
    </w:p>
    <w:p w14:paraId="505D8C0D" w14:textId="77777777" w:rsidR="00A43337" w:rsidRPr="00AB7AF8" w:rsidRDefault="00A43337" w:rsidP="00A43337">
      <w:pPr>
        <w:spacing w:after="0" w:line="240" w:lineRule="auto"/>
        <w:rPr>
          <w:rFonts w:ascii="Lato Light" w:hAnsi="Lato Light"/>
          <w:b/>
          <w:bCs/>
          <w:i/>
          <w:iCs/>
        </w:rPr>
      </w:pPr>
      <w:r w:rsidRPr="00AB7AF8">
        <w:rPr>
          <w:rFonts w:ascii="Lato Light" w:hAnsi="Lato Light"/>
          <w:b/>
          <w:bCs/>
          <w:i/>
          <w:iCs/>
        </w:rPr>
        <w:t>What is a gag clause and what is prohibited?</w:t>
      </w:r>
    </w:p>
    <w:p w14:paraId="2FD2BAFF" w14:textId="77777777" w:rsidR="00A43337" w:rsidRPr="00AB7AF8" w:rsidRDefault="00A43337" w:rsidP="00A43337">
      <w:pPr>
        <w:spacing w:after="0" w:line="240" w:lineRule="auto"/>
        <w:rPr>
          <w:rFonts w:ascii="Lato Light" w:hAnsi="Lato Light"/>
        </w:rPr>
      </w:pPr>
    </w:p>
    <w:p w14:paraId="425C8E2C" w14:textId="7E59DCB1" w:rsidR="00A43337" w:rsidRPr="00AB7AF8" w:rsidRDefault="00A43337" w:rsidP="00A43337">
      <w:pPr>
        <w:spacing w:after="0" w:line="240" w:lineRule="auto"/>
        <w:rPr>
          <w:rFonts w:ascii="Lato Light" w:hAnsi="Lato Light"/>
        </w:rPr>
      </w:pPr>
      <w:r w:rsidRPr="00AB7AF8">
        <w:rPr>
          <w:rFonts w:ascii="Lato Light" w:hAnsi="Lato Light"/>
        </w:rPr>
        <w:t>The CAA prohibits group health plans and insurance carriers from entering into agreements with providers, TPAs</w:t>
      </w:r>
      <w:r w:rsidR="00814D57">
        <w:rPr>
          <w:rFonts w:ascii="Lato Light" w:hAnsi="Lato Light"/>
        </w:rPr>
        <w:t xml:space="preserve"> </w:t>
      </w:r>
      <w:r w:rsidRPr="00AB7AF8">
        <w:rPr>
          <w:rFonts w:ascii="Lato Light" w:hAnsi="Lato Light"/>
        </w:rPr>
        <w:t xml:space="preserve">or other service providers whose agreements include language that would constitute a “gag clause,” specifically: </w:t>
      </w:r>
    </w:p>
    <w:p w14:paraId="73C6F709" w14:textId="77777777" w:rsidR="00A43337" w:rsidRPr="00AB7AF8" w:rsidRDefault="00A43337" w:rsidP="00A43337">
      <w:pPr>
        <w:spacing w:after="0" w:line="240" w:lineRule="auto"/>
        <w:rPr>
          <w:rFonts w:ascii="Lato Light" w:hAnsi="Lato Light"/>
        </w:rPr>
      </w:pPr>
    </w:p>
    <w:p w14:paraId="3300184B" w14:textId="624BCE4A" w:rsidR="00A43337" w:rsidRPr="00AB7AF8" w:rsidRDefault="00A43337" w:rsidP="00A43337">
      <w:pPr>
        <w:pStyle w:val="ListParagraph"/>
        <w:numPr>
          <w:ilvl w:val="0"/>
          <w:numId w:val="14"/>
        </w:numPr>
        <w:spacing w:after="0" w:line="240" w:lineRule="auto"/>
        <w:rPr>
          <w:rFonts w:ascii="Lato Light" w:hAnsi="Lato Light"/>
        </w:rPr>
      </w:pPr>
      <w:r w:rsidRPr="00AB7AF8">
        <w:rPr>
          <w:rFonts w:ascii="Lato Light" w:hAnsi="Lato Light"/>
        </w:rPr>
        <w:t>restrictions on the disclosure of provider-specific cost or quality of care information or data to referring providers, the employer plan sponsor, participants, beneficiaries</w:t>
      </w:r>
      <w:r w:rsidR="00814D57">
        <w:rPr>
          <w:rFonts w:ascii="Lato Light" w:hAnsi="Lato Light"/>
        </w:rPr>
        <w:t xml:space="preserve"> </w:t>
      </w:r>
      <w:r w:rsidRPr="00AB7AF8">
        <w:rPr>
          <w:rFonts w:ascii="Lato Light" w:hAnsi="Lato Light"/>
        </w:rPr>
        <w:t>or enrollees, or individuals eligible to become participants, beneficiaries</w:t>
      </w:r>
      <w:r w:rsidR="00814D57">
        <w:rPr>
          <w:rFonts w:ascii="Lato Light" w:hAnsi="Lato Light"/>
        </w:rPr>
        <w:t xml:space="preserve"> </w:t>
      </w:r>
      <w:r w:rsidRPr="00AB7AF8">
        <w:rPr>
          <w:rFonts w:ascii="Lato Light" w:hAnsi="Lato Light"/>
        </w:rPr>
        <w:t>or enrollees of the plan or coverage;</w:t>
      </w:r>
    </w:p>
    <w:p w14:paraId="25B0D12F" w14:textId="77777777" w:rsidR="00A43337" w:rsidRPr="00AB7AF8" w:rsidRDefault="00A43337" w:rsidP="00A43337">
      <w:pPr>
        <w:spacing w:after="0" w:line="240" w:lineRule="auto"/>
        <w:rPr>
          <w:rFonts w:ascii="Lato Light" w:hAnsi="Lato Light"/>
        </w:rPr>
      </w:pPr>
    </w:p>
    <w:p w14:paraId="0B55CD0C" w14:textId="23AEC3B4" w:rsidR="00A43337" w:rsidRPr="00AB7AF8" w:rsidRDefault="00A43337" w:rsidP="00A43337">
      <w:pPr>
        <w:pStyle w:val="ListParagraph"/>
        <w:numPr>
          <w:ilvl w:val="0"/>
          <w:numId w:val="14"/>
        </w:numPr>
        <w:spacing w:after="0" w:line="240" w:lineRule="auto"/>
        <w:rPr>
          <w:rFonts w:ascii="Lato Light" w:hAnsi="Lato Light"/>
        </w:rPr>
      </w:pPr>
      <w:r w:rsidRPr="00AB7AF8">
        <w:rPr>
          <w:rFonts w:ascii="Lato Light" w:hAnsi="Lato Light"/>
        </w:rPr>
        <w:t>restrictions on electronic access to de-identified claims and encounter information or data for each participant, beneficiary, or enrollee upon request and consistent with the privacy regulations promulgated pursuant to section 246(c) of HIPAA, GINA</w:t>
      </w:r>
      <w:r w:rsidR="00814D57">
        <w:rPr>
          <w:rFonts w:ascii="Lato Light" w:hAnsi="Lato Light"/>
        </w:rPr>
        <w:t xml:space="preserve"> </w:t>
      </w:r>
      <w:r w:rsidRPr="00AB7AF8">
        <w:rPr>
          <w:rFonts w:ascii="Lato Light" w:hAnsi="Lato Light"/>
        </w:rPr>
        <w:t xml:space="preserve">and the ADA; and </w:t>
      </w:r>
    </w:p>
    <w:p w14:paraId="75A7F815" w14:textId="77777777" w:rsidR="00A43337" w:rsidRPr="00AB7AF8" w:rsidRDefault="00A43337" w:rsidP="00A43337">
      <w:pPr>
        <w:spacing w:after="0" w:line="240" w:lineRule="auto"/>
        <w:rPr>
          <w:rFonts w:ascii="Lato Light" w:hAnsi="Lato Light"/>
        </w:rPr>
      </w:pPr>
    </w:p>
    <w:p w14:paraId="47E53CB5" w14:textId="77777777" w:rsidR="00A43337" w:rsidRPr="00AB7AF8" w:rsidRDefault="00A43337" w:rsidP="00A43337">
      <w:pPr>
        <w:pStyle w:val="ListParagraph"/>
        <w:numPr>
          <w:ilvl w:val="0"/>
          <w:numId w:val="14"/>
        </w:numPr>
        <w:spacing w:after="0" w:line="240" w:lineRule="auto"/>
        <w:rPr>
          <w:rFonts w:ascii="Lato Light" w:hAnsi="Lato Light"/>
        </w:rPr>
      </w:pPr>
      <w:r w:rsidRPr="00AB7AF8">
        <w:rPr>
          <w:rFonts w:ascii="Lato Light" w:hAnsi="Lato Light"/>
        </w:rPr>
        <w:t>restrictions on sharing information or data described in (1) and (2), or directing that such information or data be shared, with a business associate, as defined in 45 CFR 160.103, consistent with applicable privacy regulations.</w:t>
      </w:r>
    </w:p>
    <w:p w14:paraId="4056C7FE" w14:textId="77777777" w:rsidR="00A43337" w:rsidRPr="00AB7AF8" w:rsidRDefault="00A43337" w:rsidP="00A43337">
      <w:pPr>
        <w:spacing w:after="0" w:line="240" w:lineRule="auto"/>
        <w:rPr>
          <w:rFonts w:ascii="Lato Light" w:hAnsi="Lato Light"/>
        </w:rPr>
      </w:pPr>
    </w:p>
    <w:p w14:paraId="5C4325C0" w14:textId="11A2EDEE" w:rsidR="00A43337" w:rsidRPr="00AB7AF8" w:rsidRDefault="00A43337" w:rsidP="00A43337">
      <w:pPr>
        <w:spacing w:after="0" w:line="240" w:lineRule="auto"/>
        <w:rPr>
          <w:rFonts w:ascii="Lato Light" w:hAnsi="Lato Light"/>
        </w:rPr>
      </w:pPr>
      <w:r w:rsidRPr="00AB7AF8">
        <w:rPr>
          <w:rFonts w:ascii="Lato Light" w:hAnsi="Lato Light"/>
        </w:rPr>
        <w:t xml:space="preserve">For example, if a contract between a TPA and a group health plan states that the plan </w:t>
      </w:r>
      <w:r w:rsidR="00814D57">
        <w:rPr>
          <w:rFonts w:ascii="Lato Light" w:hAnsi="Lato Light"/>
        </w:rPr>
        <w:t>pays</w:t>
      </w:r>
      <w:r w:rsidRPr="00AB7AF8">
        <w:rPr>
          <w:rFonts w:ascii="Lato Light" w:hAnsi="Lato Light"/>
        </w:rPr>
        <w:t xml:space="preserve"> providers at rates designated as “Point of Service Rates,” but the TPA considers those rates proprietary and therefore includes language in the contract stating that the plan may not disclose the rates to participants, that language prohibiting disclosure </w:t>
      </w:r>
      <w:r w:rsidR="00814D57">
        <w:rPr>
          <w:rFonts w:ascii="Lato Light" w:hAnsi="Lato Light"/>
        </w:rPr>
        <w:t>is</w:t>
      </w:r>
      <w:r w:rsidRPr="00AB7AF8">
        <w:rPr>
          <w:rFonts w:ascii="Lato Light" w:hAnsi="Lato Light"/>
        </w:rPr>
        <w:t xml:space="preserve"> considered a prohibited gag clause (</w:t>
      </w:r>
      <w:r w:rsidR="00814D57">
        <w:rPr>
          <w:rFonts w:ascii="Lato Light" w:hAnsi="Lato Light"/>
        </w:rPr>
        <w:t>i.e., not</w:t>
      </w:r>
      <w:r w:rsidRPr="00AB7AF8">
        <w:rPr>
          <w:rFonts w:ascii="Lato Light" w:hAnsi="Lato Light"/>
        </w:rPr>
        <w:t xml:space="preserve"> allowed).</w:t>
      </w:r>
    </w:p>
    <w:p w14:paraId="170C25B9" w14:textId="77777777" w:rsidR="00A43337" w:rsidRPr="00AB7AF8" w:rsidRDefault="00A43337" w:rsidP="00A43337">
      <w:pPr>
        <w:spacing w:after="0" w:line="240" w:lineRule="auto"/>
        <w:rPr>
          <w:rFonts w:ascii="Lato Light" w:hAnsi="Lato Light"/>
        </w:rPr>
      </w:pPr>
    </w:p>
    <w:p w14:paraId="480FDE0F" w14:textId="22AE3C6C" w:rsidR="00A43337" w:rsidRPr="00AB7AF8" w:rsidRDefault="00A43337" w:rsidP="00A43337">
      <w:pPr>
        <w:spacing w:after="0" w:line="240" w:lineRule="auto"/>
        <w:rPr>
          <w:rFonts w:ascii="Lato Light" w:hAnsi="Lato Light"/>
        </w:rPr>
      </w:pPr>
      <w:r w:rsidRPr="00AB7AF8">
        <w:rPr>
          <w:rFonts w:ascii="Lato Light" w:hAnsi="Lato Light"/>
        </w:rPr>
        <w:t xml:space="preserve">As another example, if a contract between a TPA and a plan says that the employer’s access to provider-specific cost and quality of care information is only at the discretion of the TPA, that contractual provision </w:t>
      </w:r>
      <w:r w:rsidR="00814D57">
        <w:rPr>
          <w:rFonts w:ascii="Lato Light" w:hAnsi="Lato Light"/>
        </w:rPr>
        <w:t>is</w:t>
      </w:r>
      <w:r w:rsidRPr="00AB7AF8">
        <w:rPr>
          <w:rFonts w:ascii="Lato Light" w:hAnsi="Lato Light"/>
        </w:rPr>
        <w:t xml:space="preserve"> considered a prohibited gag clause. </w:t>
      </w:r>
    </w:p>
    <w:p w14:paraId="23C6B39A" w14:textId="77777777" w:rsidR="00A43337" w:rsidRPr="00AB7AF8" w:rsidRDefault="00A43337" w:rsidP="00A43337">
      <w:pPr>
        <w:spacing w:after="0" w:line="240" w:lineRule="auto"/>
        <w:rPr>
          <w:rFonts w:ascii="Lato Light" w:hAnsi="Lato Light"/>
        </w:rPr>
      </w:pPr>
    </w:p>
    <w:p w14:paraId="18E4DFBB" w14:textId="27D7B881" w:rsidR="00A43337" w:rsidRPr="00AB7AF8" w:rsidRDefault="00A43337" w:rsidP="00A43337">
      <w:pPr>
        <w:spacing w:after="0" w:line="240" w:lineRule="auto"/>
        <w:rPr>
          <w:rFonts w:ascii="Lato Light" w:hAnsi="Lato Light"/>
        </w:rPr>
      </w:pPr>
      <w:r w:rsidRPr="00AB7AF8">
        <w:rPr>
          <w:rFonts w:ascii="Lato Light" w:hAnsi="Lato Light"/>
        </w:rPr>
        <w:lastRenderedPageBreak/>
        <w:t>Self-insured employer plan sponsors and fully-insured carriers must ensure that their agreements with health care providers, networks or associations of providers</w:t>
      </w:r>
      <w:r w:rsidR="00814D57">
        <w:rPr>
          <w:rFonts w:ascii="Lato Light" w:hAnsi="Lato Light"/>
        </w:rPr>
        <w:t xml:space="preserve"> </w:t>
      </w:r>
      <w:r w:rsidRPr="00AB7AF8">
        <w:rPr>
          <w:rFonts w:ascii="Lato Light" w:hAnsi="Lato Light"/>
        </w:rPr>
        <w:t>or other service providers offering access to a network of providers do not contain these or other provisions that violate the prohibition on gag clauses. However, a health care provider, network or association of providers</w:t>
      </w:r>
      <w:r w:rsidR="00814D57">
        <w:rPr>
          <w:rFonts w:ascii="Lato Light" w:hAnsi="Lato Light"/>
        </w:rPr>
        <w:t xml:space="preserve"> </w:t>
      </w:r>
      <w:r w:rsidRPr="00AB7AF8">
        <w:rPr>
          <w:rFonts w:ascii="Lato Light" w:hAnsi="Lato Light"/>
        </w:rPr>
        <w:t>or other service provider may place reasonable restrictions on the public disclosure of this information.</w:t>
      </w:r>
    </w:p>
    <w:p w14:paraId="1F67D909" w14:textId="77777777" w:rsidR="00A43337" w:rsidRPr="00AB7AF8" w:rsidRDefault="00A43337" w:rsidP="00A43337">
      <w:pPr>
        <w:spacing w:after="0" w:line="240" w:lineRule="auto"/>
        <w:rPr>
          <w:rFonts w:ascii="Lato Light" w:hAnsi="Lato Light"/>
        </w:rPr>
      </w:pPr>
    </w:p>
    <w:p w14:paraId="6DFDE869" w14:textId="77777777" w:rsidR="00A43337" w:rsidRPr="00AB7AF8" w:rsidRDefault="00A43337" w:rsidP="00A43337">
      <w:pPr>
        <w:spacing w:after="0" w:line="240" w:lineRule="auto"/>
        <w:rPr>
          <w:rFonts w:ascii="Lato Light" w:hAnsi="Lato Light"/>
          <w:b/>
          <w:bCs/>
          <w:i/>
          <w:iCs/>
        </w:rPr>
      </w:pPr>
      <w:r w:rsidRPr="00AB7AF8">
        <w:rPr>
          <w:rFonts w:ascii="Lato Light" w:hAnsi="Lato Light"/>
          <w:b/>
          <w:bCs/>
          <w:i/>
          <w:iCs/>
        </w:rPr>
        <w:t>What attestation is required?</w:t>
      </w:r>
    </w:p>
    <w:p w14:paraId="40CA028D" w14:textId="77777777" w:rsidR="00A43337" w:rsidRPr="00AB7AF8" w:rsidRDefault="00A43337" w:rsidP="00A43337">
      <w:pPr>
        <w:spacing w:after="0" w:line="240" w:lineRule="auto"/>
        <w:rPr>
          <w:rFonts w:ascii="Lato Light" w:hAnsi="Lato Light"/>
        </w:rPr>
      </w:pPr>
    </w:p>
    <w:p w14:paraId="20D09F2F" w14:textId="015E5BC0" w:rsidR="00A43337" w:rsidRPr="00AB7AF8" w:rsidRDefault="00A43337" w:rsidP="00A43337">
      <w:pPr>
        <w:spacing w:after="0" w:line="240" w:lineRule="auto"/>
        <w:rPr>
          <w:rFonts w:ascii="Lato Light" w:hAnsi="Lato Light"/>
        </w:rPr>
      </w:pPr>
      <w:r w:rsidRPr="00AB7AF8">
        <w:rPr>
          <w:rFonts w:ascii="Lato Light" w:hAnsi="Lato Light"/>
        </w:rPr>
        <w:t xml:space="preserve">In addition to ensuring agreements do not contain such gag clauses, </w:t>
      </w:r>
      <w:r w:rsidR="00814D57" w:rsidRPr="00814D57">
        <w:rPr>
          <w:rFonts w:ascii="Lato Light" w:hAnsi="Lato Light"/>
          <w:i/>
          <w:iCs/>
        </w:rPr>
        <w:t>all</w:t>
      </w:r>
      <w:r w:rsidRPr="00814D57">
        <w:rPr>
          <w:rFonts w:ascii="Lato Light" w:hAnsi="Lato Light"/>
          <w:i/>
          <w:iCs/>
        </w:rPr>
        <w:t xml:space="preserve"> </w:t>
      </w:r>
      <w:r w:rsidRPr="00AB7AF8">
        <w:rPr>
          <w:rFonts w:ascii="Lato Light" w:hAnsi="Lato Light"/>
        </w:rPr>
        <w:t xml:space="preserve">plans and issuers are required to submit a Gag Clause Prohibition Compliance Attestation (GCPCA) directly to CMS online at  </w:t>
      </w:r>
      <w:hyperlink r:id="rId6" w:history="1">
        <w:r w:rsidRPr="00AB7AF8">
          <w:rPr>
            <w:rStyle w:val="Hyperlink"/>
            <w:rFonts w:ascii="Lato Light" w:hAnsi="Lato Light"/>
          </w:rPr>
          <w:t>https://hios.cms.gov/HIOS-GCPCA-UI</w:t>
        </w:r>
      </w:hyperlink>
      <w:r w:rsidRPr="00AB7AF8">
        <w:rPr>
          <w:rFonts w:ascii="Lato Light" w:hAnsi="Lato Light"/>
        </w:rPr>
        <w:t xml:space="preserve"> no later than December 31, 2024 and each year thereafter.</w:t>
      </w:r>
    </w:p>
    <w:p w14:paraId="7E779E3E" w14:textId="77777777" w:rsidR="00A43337" w:rsidRPr="00AB7AF8" w:rsidRDefault="00A43337" w:rsidP="00A43337">
      <w:pPr>
        <w:spacing w:after="0" w:line="240" w:lineRule="auto"/>
        <w:rPr>
          <w:rFonts w:ascii="Lato Light" w:hAnsi="Lato Light"/>
        </w:rPr>
      </w:pPr>
    </w:p>
    <w:p w14:paraId="4DFEBE5D" w14:textId="77777777" w:rsidR="00A43337" w:rsidRPr="00AB7AF8" w:rsidRDefault="00A43337" w:rsidP="00A43337">
      <w:pPr>
        <w:spacing w:after="0" w:line="240" w:lineRule="auto"/>
        <w:rPr>
          <w:rFonts w:ascii="Lato Light" w:hAnsi="Lato Light"/>
          <w:b/>
          <w:bCs/>
          <w:i/>
          <w:iCs/>
        </w:rPr>
      </w:pPr>
      <w:r w:rsidRPr="00AB7AF8">
        <w:rPr>
          <w:rFonts w:ascii="Lato Light" w:hAnsi="Lato Light"/>
          <w:b/>
          <w:bCs/>
          <w:i/>
          <w:iCs/>
        </w:rPr>
        <w:t>Will the carrier or TPA submit the GCPCA on the employer’s behalf?</w:t>
      </w:r>
    </w:p>
    <w:p w14:paraId="40D9C9C8" w14:textId="77777777" w:rsidR="00A43337" w:rsidRPr="00AB7AF8" w:rsidRDefault="00A43337" w:rsidP="00A43337">
      <w:pPr>
        <w:spacing w:after="0" w:line="240" w:lineRule="auto"/>
        <w:rPr>
          <w:rFonts w:ascii="Lato Light" w:hAnsi="Lato Light"/>
        </w:rPr>
      </w:pPr>
    </w:p>
    <w:p w14:paraId="7E1EC8E1" w14:textId="0534906E" w:rsidR="00A43337" w:rsidRPr="00AB7AF8" w:rsidRDefault="00A43337" w:rsidP="00A43337">
      <w:pPr>
        <w:spacing w:after="0" w:line="240" w:lineRule="auto"/>
        <w:rPr>
          <w:rFonts w:ascii="Lato Light" w:hAnsi="Lato Light"/>
        </w:rPr>
      </w:pPr>
      <w:r w:rsidRPr="00AB7AF8">
        <w:rPr>
          <w:rFonts w:ascii="Lato Light" w:hAnsi="Lato Light"/>
        </w:rPr>
        <w:t xml:space="preserve">Employers and advisors need to confirm with carriers, service providers and TPAs on what level of assistance </w:t>
      </w:r>
      <w:r w:rsidR="00814D57">
        <w:rPr>
          <w:rFonts w:ascii="Lato Light" w:hAnsi="Lato Light"/>
        </w:rPr>
        <w:t>is</w:t>
      </w:r>
      <w:r w:rsidRPr="00AB7AF8">
        <w:rPr>
          <w:rFonts w:ascii="Lato Light" w:hAnsi="Lato Light"/>
        </w:rPr>
        <w:t xml:space="preserve"> provided. </w:t>
      </w:r>
    </w:p>
    <w:p w14:paraId="7E0D6E06" w14:textId="77777777" w:rsidR="00A43337" w:rsidRPr="00AB7AF8" w:rsidRDefault="00A43337" w:rsidP="00A43337">
      <w:pPr>
        <w:spacing w:after="0" w:line="240" w:lineRule="auto"/>
        <w:rPr>
          <w:rFonts w:ascii="Lato Light" w:hAnsi="Lato Light"/>
        </w:rPr>
      </w:pPr>
    </w:p>
    <w:p w14:paraId="6442D9FB" w14:textId="77777777" w:rsidR="00A43337" w:rsidRPr="00AB7AF8" w:rsidRDefault="00A43337" w:rsidP="00A43337">
      <w:pPr>
        <w:pStyle w:val="ListParagraph"/>
        <w:numPr>
          <w:ilvl w:val="0"/>
          <w:numId w:val="15"/>
        </w:numPr>
        <w:spacing w:after="0" w:line="240" w:lineRule="auto"/>
        <w:rPr>
          <w:rFonts w:ascii="Lato Light" w:hAnsi="Lato Light"/>
        </w:rPr>
      </w:pPr>
      <w:r w:rsidRPr="00AB7AF8">
        <w:rPr>
          <w:rFonts w:ascii="Lato Light" w:hAnsi="Lato Light"/>
          <w:i/>
          <w:iCs/>
        </w:rPr>
        <w:t>Fully-insured group health plans</w:t>
      </w:r>
      <w:r w:rsidRPr="00AB7AF8">
        <w:rPr>
          <w:rFonts w:ascii="Lato Light" w:hAnsi="Lato Light"/>
        </w:rPr>
        <w:t xml:space="preserve">: the plan sponsor and the insurance carrier are </w:t>
      </w:r>
      <w:r w:rsidRPr="00AB7AF8">
        <w:rPr>
          <w:rFonts w:ascii="Lato Light" w:hAnsi="Lato Light"/>
          <w:b/>
          <w:bCs/>
        </w:rPr>
        <w:t>both</w:t>
      </w:r>
      <w:r w:rsidRPr="00AB7AF8">
        <w:rPr>
          <w:rFonts w:ascii="Lato Light" w:hAnsi="Lato Light"/>
        </w:rPr>
        <w:t xml:space="preserve"> required to submit the GCPCA each year by December 31</w:t>
      </w:r>
      <w:r w:rsidRPr="00AB7AF8">
        <w:rPr>
          <w:rFonts w:ascii="Lato Light" w:hAnsi="Lato Light"/>
          <w:vertAlign w:val="superscript"/>
        </w:rPr>
        <w:t>st</w:t>
      </w:r>
      <w:r w:rsidRPr="00AB7AF8">
        <w:rPr>
          <w:rFonts w:ascii="Lato Light" w:hAnsi="Lato Light"/>
        </w:rPr>
        <w:t xml:space="preserve">. However, a fully-insured plan sponsor may shift liability to the carrier through a written agreement. </w:t>
      </w:r>
    </w:p>
    <w:p w14:paraId="73B1717C" w14:textId="77777777" w:rsidR="00A43337" w:rsidRPr="00AB7AF8" w:rsidRDefault="00A43337" w:rsidP="00A43337">
      <w:pPr>
        <w:spacing w:after="0" w:line="240" w:lineRule="auto"/>
        <w:rPr>
          <w:rFonts w:ascii="Lato Light" w:hAnsi="Lato Light"/>
        </w:rPr>
      </w:pPr>
    </w:p>
    <w:p w14:paraId="795B932F" w14:textId="77777777" w:rsidR="00A43337" w:rsidRPr="00AB7AF8" w:rsidRDefault="00A43337" w:rsidP="00A43337">
      <w:pPr>
        <w:pStyle w:val="ListParagraph"/>
        <w:numPr>
          <w:ilvl w:val="0"/>
          <w:numId w:val="15"/>
        </w:numPr>
        <w:spacing w:after="0" w:line="240" w:lineRule="auto"/>
        <w:rPr>
          <w:rFonts w:ascii="Lato Light" w:hAnsi="Lato Light"/>
        </w:rPr>
      </w:pPr>
      <w:r w:rsidRPr="00AB7AF8">
        <w:rPr>
          <w:rFonts w:ascii="Lato Light" w:hAnsi="Lato Light"/>
          <w:i/>
          <w:iCs/>
        </w:rPr>
        <w:t>Self-funded and level-funded plans</w:t>
      </w:r>
      <w:r w:rsidRPr="00AB7AF8">
        <w:rPr>
          <w:rFonts w:ascii="Lato Light" w:hAnsi="Lato Light"/>
        </w:rPr>
        <w:t xml:space="preserve"> may satisfy the requirement to provide a GCPCA by entering into a written agreement under which the plan’s service provider(s) (such as a TPA, including an issuer acting as a TPA) will attest on behalf of the employer plan sponsor. However, even if the plan enters into an agreement with the TPA, the legal requirement to remove any gag clauses and provide an attestation rests on the plan sponsor.</w:t>
      </w:r>
    </w:p>
    <w:p w14:paraId="492A7D11" w14:textId="77777777" w:rsidR="00A43337" w:rsidRPr="00AB7AF8" w:rsidRDefault="00A43337" w:rsidP="00A43337">
      <w:pPr>
        <w:spacing w:after="0" w:line="240" w:lineRule="auto"/>
        <w:rPr>
          <w:rFonts w:ascii="Lato Light" w:hAnsi="Lato Light"/>
        </w:rPr>
      </w:pPr>
    </w:p>
    <w:p w14:paraId="7E0CCCEA" w14:textId="77777777" w:rsidR="00A43337" w:rsidRPr="00AB7AF8" w:rsidRDefault="00A43337" w:rsidP="00A43337">
      <w:pPr>
        <w:spacing w:after="0" w:line="240" w:lineRule="auto"/>
        <w:rPr>
          <w:rFonts w:ascii="Lato Light" w:hAnsi="Lato Light"/>
          <w:b/>
          <w:bCs/>
          <w:i/>
          <w:iCs/>
        </w:rPr>
      </w:pPr>
      <w:r w:rsidRPr="00AB7AF8">
        <w:rPr>
          <w:rFonts w:ascii="Lato Light" w:hAnsi="Lato Light"/>
          <w:b/>
          <w:bCs/>
          <w:i/>
          <w:iCs/>
        </w:rPr>
        <w:t xml:space="preserve">Who is exempt? </w:t>
      </w:r>
    </w:p>
    <w:p w14:paraId="4C1E21BF" w14:textId="77777777" w:rsidR="00A43337" w:rsidRPr="00AB7AF8" w:rsidRDefault="00A43337" w:rsidP="00A43337">
      <w:pPr>
        <w:spacing w:after="0" w:line="240" w:lineRule="auto"/>
        <w:rPr>
          <w:rFonts w:ascii="Lato Light" w:hAnsi="Lato Light"/>
        </w:rPr>
      </w:pPr>
    </w:p>
    <w:p w14:paraId="3B01763A" w14:textId="6C729383" w:rsidR="00A43337" w:rsidRPr="00AB7AF8" w:rsidRDefault="00B2773D" w:rsidP="00A43337">
      <w:pPr>
        <w:spacing w:after="0" w:line="240" w:lineRule="auto"/>
        <w:rPr>
          <w:rFonts w:ascii="Lato Light" w:hAnsi="Lato Light"/>
        </w:rPr>
      </w:pPr>
      <w:r>
        <w:rPr>
          <w:rFonts w:ascii="Lato Light" w:hAnsi="Lato Light"/>
        </w:rPr>
        <w:t>P</w:t>
      </w:r>
      <w:r w:rsidR="00A43337" w:rsidRPr="00AB7AF8">
        <w:rPr>
          <w:rFonts w:ascii="Lato Light" w:hAnsi="Lato Light"/>
        </w:rPr>
        <w:t>lans consisting of only excepted benefits</w:t>
      </w:r>
      <w:r>
        <w:rPr>
          <w:rFonts w:ascii="Lato Light" w:hAnsi="Lato Light"/>
        </w:rPr>
        <w:t xml:space="preserve"> such as dental/vision or retiree-only plans are exempt.  Also, account-based plans such as</w:t>
      </w:r>
      <w:r w:rsidR="00A43337" w:rsidRPr="00AB7AF8">
        <w:rPr>
          <w:rFonts w:ascii="Lato Light" w:hAnsi="Lato Light"/>
        </w:rPr>
        <w:t xml:space="preserve"> HRAs </w:t>
      </w:r>
      <w:r>
        <w:rPr>
          <w:rFonts w:ascii="Lato Light" w:hAnsi="Lato Light"/>
        </w:rPr>
        <w:t>or</w:t>
      </w:r>
      <w:r w:rsidR="00A43337" w:rsidRPr="00AB7AF8">
        <w:rPr>
          <w:rFonts w:ascii="Lato Light" w:hAnsi="Lato Light"/>
        </w:rPr>
        <w:t xml:space="preserve"> ICHRAs</w:t>
      </w:r>
      <w:r w:rsidR="00814D57">
        <w:rPr>
          <w:rFonts w:ascii="Lato Light" w:hAnsi="Lato Light"/>
        </w:rPr>
        <w:t xml:space="preserve"> </w:t>
      </w:r>
      <w:r w:rsidR="00A43337" w:rsidRPr="00AB7AF8">
        <w:rPr>
          <w:rFonts w:ascii="Lato Light" w:hAnsi="Lato Light"/>
        </w:rPr>
        <w:t xml:space="preserve">are </w:t>
      </w:r>
      <w:r>
        <w:rPr>
          <w:rFonts w:ascii="Lato Light" w:hAnsi="Lato Light"/>
        </w:rPr>
        <w:t>exempt</w:t>
      </w:r>
      <w:r w:rsidR="00A43337" w:rsidRPr="00AB7AF8">
        <w:rPr>
          <w:rFonts w:ascii="Lato Light" w:hAnsi="Lato Light"/>
        </w:rPr>
        <w:t xml:space="preserve"> as these plans do not typically need to enter into </w:t>
      </w:r>
      <w:r w:rsidR="00814D57">
        <w:rPr>
          <w:rFonts w:ascii="Lato Light" w:hAnsi="Lato Light"/>
        </w:rPr>
        <w:t xml:space="preserve">an </w:t>
      </w:r>
      <w:r w:rsidR="00A43337" w:rsidRPr="00AB7AF8">
        <w:rPr>
          <w:rFonts w:ascii="Lato Light" w:hAnsi="Lato Light"/>
        </w:rPr>
        <w:t xml:space="preserve">agreement with providers. Instead, these arrangements are usually integrated with other medical coverage required to submit an attestation (e.g., HRAs integrated with group health plan and ICHRAs with individual medical coverage). </w:t>
      </w:r>
    </w:p>
    <w:p w14:paraId="422160BE" w14:textId="77777777" w:rsidR="00A43337" w:rsidRPr="00AB7AF8" w:rsidRDefault="00A43337" w:rsidP="00A43337">
      <w:pPr>
        <w:spacing w:after="0" w:line="240" w:lineRule="auto"/>
        <w:rPr>
          <w:rFonts w:ascii="Lato Light" w:hAnsi="Lato Light"/>
        </w:rPr>
      </w:pPr>
    </w:p>
    <w:p w14:paraId="0ECC00D7" w14:textId="0E4B815E" w:rsidR="00AB7AF8" w:rsidRPr="00731D3B" w:rsidRDefault="00A43337" w:rsidP="00A43337">
      <w:pPr>
        <w:spacing w:after="0" w:line="240" w:lineRule="auto"/>
        <w:rPr>
          <w:rFonts w:ascii="Lato Light" w:hAnsi="Lato Light"/>
        </w:rPr>
      </w:pPr>
      <w:r w:rsidRPr="00AB7AF8">
        <w:rPr>
          <w:rFonts w:ascii="Lato Light" w:hAnsi="Lato Light"/>
        </w:rPr>
        <w:t xml:space="preserve">However, all group </w:t>
      </w:r>
      <w:r w:rsidR="00B2773D">
        <w:rPr>
          <w:rFonts w:ascii="Lato Light" w:hAnsi="Lato Light"/>
        </w:rPr>
        <w:t>medical/Rx</w:t>
      </w:r>
      <w:r w:rsidRPr="00AB7AF8">
        <w:rPr>
          <w:rFonts w:ascii="Lato Light" w:hAnsi="Lato Light"/>
        </w:rPr>
        <w:t xml:space="preserve"> plans regardless of size, funding strategy or grandfathered status must submit the required attestation.</w:t>
      </w:r>
    </w:p>
    <w:p w14:paraId="61C15ABA" w14:textId="77777777" w:rsidR="00DD266E" w:rsidRDefault="00DD266E" w:rsidP="00A43337">
      <w:pPr>
        <w:spacing w:after="0" w:line="240" w:lineRule="auto"/>
        <w:rPr>
          <w:rFonts w:ascii="Lato Light" w:hAnsi="Lato Light"/>
          <w:b/>
          <w:bCs/>
          <w:i/>
          <w:iCs/>
        </w:rPr>
      </w:pPr>
    </w:p>
    <w:p w14:paraId="37572A0D" w14:textId="0198E622" w:rsidR="00A43337" w:rsidRPr="00AB7AF8" w:rsidRDefault="00A43337" w:rsidP="00A43337">
      <w:pPr>
        <w:spacing w:after="0" w:line="240" w:lineRule="auto"/>
        <w:rPr>
          <w:rFonts w:ascii="Lato Light" w:hAnsi="Lato Light"/>
          <w:b/>
          <w:bCs/>
          <w:i/>
          <w:iCs/>
        </w:rPr>
      </w:pPr>
      <w:r w:rsidRPr="00AB7AF8">
        <w:rPr>
          <w:rFonts w:ascii="Lato Light" w:hAnsi="Lato Light"/>
          <w:b/>
          <w:bCs/>
          <w:i/>
          <w:iCs/>
        </w:rPr>
        <w:t>What is the penalty?</w:t>
      </w:r>
    </w:p>
    <w:p w14:paraId="25F500B4" w14:textId="77777777" w:rsidR="00A43337" w:rsidRPr="00AB7AF8" w:rsidRDefault="00A43337" w:rsidP="00A43337">
      <w:pPr>
        <w:spacing w:after="0" w:line="240" w:lineRule="auto"/>
        <w:rPr>
          <w:rFonts w:ascii="Lato Light" w:hAnsi="Lato Light"/>
        </w:rPr>
      </w:pPr>
    </w:p>
    <w:p w14:paraId="4328B3E9" w14:textId="77777777" w:rsidR="00A43337" w:rsidRPr="00AB7AF8" w:rsidRDefault="00A43337" w:rsidP="00A43337">
      <w:pPr>
        <w:spacing w:after="0" w:line="240" w:lineRule="auto"/>
        <w:rPr>
          <w:rFonts w:ascii="Lato Light" w:hAnsi="Lato Light"/>
        </w:rPr>
      </w:pPr>
      <w:r w:rsidRPr="00AB7AF8">
        <w:rPr>
          <w:rFonts w:ascii="Lato Light" w:hAnsi="Lato Light"/>
        </w:rPr>
        <w:t>The FAQ mentions that plans and issuers who fail to submit their GCPCA by the December 31</w:t>
      </w:r>
      <w:r w:rsidRPr="00AB7AF8">
        <w:rPr>
          <w:rFonts w:ascii="Lato Light" w:hAnsi="Lato Light"/>
          <w:vertAlign w:val="superscript"/>
        </w:rPr>
        <w:t>st</w:t>
      </w:r>
      <w:r w:rsidRPr="00AB7AF8">
        <w:rPr>
          <w:rFonts w:ascii="Lato Light" w:hAnsi="Lato Light"/>
        </w:rPr>
        <w:t xml:space="preserve"> deadline may be subject to enforcement action, but no specific penalties are provided.</w:t>
      </w:r>
    </w:p>
    <w:p w14:paraId="0B8AC62B" w14:textId="77777777" w:rsidR="00A43337" w:rsidRPr="00AB7AF8" w:rsidRDefault="00A43337" w:rsidP="00A43337">
      <w:pPr>
        <w:spacing w:after="0" w:line="240" w:lineRule="auto"/>
        <w:rPr>
          <w:rFonts w:ascii="Lato Light" w:hAnsi="Lato Light"/>
        </w:rPr>
      </w:pPr>
    </w:p>
    <w:p w14:paraId="350C80A7" w14:textId="77777777" w:rsidR="00814D57" w:rsidRDefault="00814D57" w:rsidP="00A43337">
      <w:pPr>
        <w:spacing w:after="0" w:line="240" w:lineRule="auto"/>
        <w:rPr>
          <w:rFonts w:ascii="Lato Light" w:hAnsi="Lato Light"/>
          <w:b/>
          <w:bCs/>
          <w:i/>
          <w:iCs/>
        </w:rPr>
      </w:pPr>
    </w:p>
    <w:p w14:paraId="76E3B5E0" w14:textId="77777777" w:rsidR="00814D57" w:rsidRDefault="00814D57" w:rsidP="00A43337">
      <w:pPr>
        <w:spacing w:after="0" w:line="240" w:lineRule="auto"/>
        <w:rPr>
          <w:rFonts w:ascii="Lato Light" w:hAnsi="Lato Light"/>
          <w:b/>
          <w:bCs/>
          <w:i/>
          <w:iCs/>
        </w:rPr>
      </w:pPr>
    </w:p>
    <w:p w14:paraId="632C1E76" w14:textId="77777777" w:rsidR="00814D57" w:rsidRDefault="00814D57" w:rsidP="00A43337">
      <w:pPr>
        <w:spacing w:after="0" w:line="240" w:lineRule="auto"/>
        <w:rPr>
          <w:rFonts w:ascii="Lato Light" w:hAnsi="Lato Light"/>
          <w:b/>
          <w:bCs/>
          <w:i/>
          <w:iCs/>
        </w:rPr>
      </w:pPr>
    </w:p>
    <w:p w14:paraId="52832188" w14:textId="77777777" w:rsidR="00814D57" w:rsidRDefault="00814D57" w:rsidP="00A43337">
      <w:pPr>
        <w:spacing w:after="0" w:line="240" w:lineRule="auto"/>
        <w:rPr>
          <w:rFonts w:ascii="Lato Light" w:hAnsi="Lato Light"/>
          <w:b/>
          <w:bCs/>
          <w:i/>
          <w:iCs/>
        </w:rPr>
      </w:pPr>
    </w:p>
    <w:p w14:paraId="2ADD03A5" w14:textId="2E9984A9" w:rsidR="00A43337" w:rsidRPr="00AB7AF8" w:rsidRDefault="00A43337" w:rsidP="00A43337">
      <w:pPr>
        <w:spacing w:after="0" w:line="240" w:lineRule="auto"/>
        <w:rPr>
          <w:rFonts w:ascii="Lato Light" w:hAnsi="Lato Light"/>
          <w:b/>
          <w:bCs/>
          <w:i/>
          <w:iCs/>
        </w:rPr>
      </w:pPr>
      <w:r w:rsidRPr="00AB7AF8">
        <w:rPr>
          <w:rFonts w:ascii="Lato Light" w:hAnsi="Lato Light"/>
          <w:b/>
          <w:bCs/>
          <w:i/>
          <w:iCs/>
        </w:rPr>
        <w:lastRenderedPageBreak/>
        <w:t>Next steps for employers</w:t>
      </w:r>
    </w:p>
    <w:p w14:paraId="7BE19D4A" w14:textId="77777777" w:rsidR="00A43337" w:rsidRPr="00AB7AF8" w:rsidRDefault="00A43337" w:rsidP="00A43337">
      <w:pPr>
        <w:spacing w:after="0" w:line="240" w:lineRule="auto"/>
        <w:rPr>
          <w:rFonts w:ascii="Lato Light" w:hAnsi="Lato Light"/>
        </w:rPr>
      </w:pPr>
    </w:p>
    <w:p w14:paraId="195C239C" w14:textId="36CFBB94" w:rsidR="00A43337" w:rsidRPr="00AB7AF8" w:rsidRDefault="00A43337" w:rsidP="00A43337">
      <w:pPr>
        <w:spacing w:after="0" w:line="240" w:lineRule="auto"/>
        <w:rPr>
          <w:rFonts w:ascii="Lato Light" w:hAnsi="Lato Light"/>
        </w:rPr>
      </w:pPr>
      <w:r w:rsidRPr="00AB7AF8">
        <w:rPr>
          <w:rFonts w:ascii="Lato Light" w:hAnsi="Lato Light"/>
        </w:rPr>
        <w:t>Many TPA service agreements include provisions requiring compliance with applicable law, which presumably override any contrary existing provisions. Nonetheless, plan sponsors and advisors need to review applicable agreements for gag clauses and remove them</w:t>
      </w:r>
      <w:r w:rsidR="00814D57">
        <w:rPr>
          <w:rFonts w:ascii="Lato Light" w:hAnsi="Lato Light"/>
        </w:rPr>
        <w:t xml:space="preserve"> if included. </w:t>
      </w:r>
      <w:r w:rsidRPr="00AB7AF8">
        <w:rPr>
          <w:rFonts w:ascii="Lato Light" w:hAnsi="Lato Light"/>
        </w:rPr>
        <w:t xml:space="preserve"> </w:t>
      </w:r>
    </w:p>
    <w:p w14:paraId="7ECED7BB" w14:textId="77777777" w:rsidR="00A43337" w:rsidRPr="00AB7AF8" w:rsidRDefault="00A43337" w:rsidP="00A43337">
      <w:pPr>
        <w:spacing w:after="0" w:line="240" w:lineRule="auto"/>
        <w:rPr>
          <w:rFonts w:ascii="Lato Light" w:hAnsi="Lato Light"/>
        </w:rPr>
      </w:pPr>
    </w:p>
    <w:p w14:paraId="60372CC0" w14:textId="039C2BE1" w:rsidR="00A43337" w:rsidRDefault="00A43337" w:rsidP="00A43337">
      <w:pPr>
        <w:spacing w:after="0" w:line="240" w:lineRule="auto"/>
        <w:rPr>
          <w:rFonts w:ascii="Lato Light" w:hAnsi="Lato Light"/>
        </w:rPr>
      </w:pPr>
      <w:r w:rsidRPr="00AB7AF8">
        <w:rPr>
          <w:rFonts w:ascii="Lato Light" w:hAnsi="Lato Light"/>
        </w:rPr>
        <w:t>In addition, employers sponsoring fully-insured, level-funded or self-insured plans should be in contact with their service providers to understand what level of assistance they provid</w:t>
      </w:r>
      <w:r w:rsidR="00814D57">
        <w:rPr>
          <w:rFonts w:ascii="Lato Light" w:hAnsi="Lato Light"/>
        </w:rPr>
        <w:t>e</w:t>
      </w:r>
      <w:r w:rsidRPr="00AB7AF8">
        <w:rPr>
          <w:rFonts w:ascii="Lato Light" w:hAnsi="Lato Light"/>
        </w:rPr>
        <w:t xml:space="preserve"> in submitting the GCPCA by December 31, 2024.</w:t>
      </w:r>
    </w:p>
    <w:p w14:paraId="13A9C33E" w14:textId="77777777" w:rsidR="00814D57" w:rsidRDefault="00814D57" w:rsidP="00A43337">
      <w:pPr>
        <w:spacing w:after="0" w:line="240" w:lineRule="auto"/>
        <w:rPr>
          <w:rFonts w:ascii="Lato Light" w:hAnsi="Lato Light"/>
        </w:rPr>
      </w:pPr>
    </w:p>
    <w:p w14:paraId="15E63DAD" w14:textId="3D0A49B1" w:rsidR="00501FC4" w:rsidRPr="00501FC4" w:rsidRDefault="00814D57" w:rsidP="00814D57">
      <w:pPr>
        <w:spacing w:after="0" w:line="240" w:lineRule="auto"/>
        <w:rPr>
          <w:rFonts w:ascii="Lato Light" w:hAnsi="Lato Light"/>
          <w:color w:val="0563C1" w:themeColor="hyperlink"/>
          <w:u w:val="single"/>
        </w:rPr>
      </w:pPr>
      <w:r>
        <w:rPr>
          <w:rFonts w:ascii="Lato Light" w:hAnsi="Lato Light"/>
        </w:rPr>
        <w:t>Visit the</w:t>
      </w:r>
      <w:r w:rsidR="00501FC4">
        <w:rPr>
          <w:rFonts w:ascii="Lato Light" w:hAnsi="Lato Light"/>
        </w:rPr>
        <w:t xml:space="preserve"> </w:t>
      </w:r>
      <w:hyperlink r:id="rId7" w:history="1">
        <w:r w:rsidR="00501FC4">
          <w:rPr>
            <w:rStyle w:val="Hyperlink"/>
            <w:rFonts w:ascii="Lato Light" w:hAnsi="Lato Light"/>
          </w:rPr>
          <w:t xml:space="preserve">CMS GSPCA </w:t>
        </w:r>
        <w:r w:rsidR="00F314EF">
          <w:rPr>
            <w:rStyle w:val="Hyperlink"/>
            <w:rFonts w:ascii="Lato Light" w:hAnsi="Lato Light"/>
          </w:rPr>
          <w:t>w</w:t>
        </w:r>
        <w:r w:rsidR="00501FC4">
          <w:rPr>
            <w:rStyle w:val="Hyperlink"/>
            <w:rFonts w:ascii="Lato Light" w:hAnsi="Lato Light"/>
          </w:rPr>
          <w:t>e</w:t>
        </w:r>
        <w:r w:rsidR="00501FC4">
          <w:rPr>
            <w:rStyle w:val="Hyperlink"/>
            <w:rFonts w:ascii="Lato Light" w:hAnsi="Lato Light"/>
          </w:rPr>
          <w:t>bsite</w:t>
        </w:r>
      </w:hyperlink>
      <w:r w:rsidR="00501FC4">
        <w:rPr>
          <w:rFonts w:ascii="Lato Light" w:hAnsi="Lato Light"/>
        </w:rPr>
        <w:t xml:space="preserve"> for </w:t>
      </w:r>
      <w:hyperlink r:id="rId8" w:history="1">
        <w:r w:rsidR="00501FC4" w:rsidRPr="00681498">
          <w:rPr>
            <w:rStyle w:val="Hyperlink"/>
            <w:rFonts w:ascii="Lato Light" w:hAnsi="Lato Light"/>
          </w:rPr>
          <w:t>2024 instr</w:t>
        </w:r>
        <w:r w:rsidR="00501FC4" w:rsidRPr="00681498">
          <w:rPr>
            <w:rStyle w:val="Hyperlink"/>
            <w:rFonts w:ascii="Lato Light" w:hAnsi="Lato Light"/>
          </w:rPr>
          <w:t>u</w:t>
        </w:r>
        <w:r w:rsidR="00501FC4" w:rsidRPr="00681498">
          <w:rPr>
            <w:rStyle w:val="Hyperlink"/>
            <w:rFonts w:ascii="Lato Light" w:hAnsi="Lato Light"/>
          </w:rPr>
          <w:t>ctions</w:t>
        </w:r>
      </w:hyperlink>
      <w:r w:rsidR="00501FC4" w:rsidRPr="00501FC4">
        <w:rPr>
          <w:rStyle w:val="Hyperlink"/>
          <w:rFonts w:ascii="Lato Light" w:hAnsi="Lato Light"/>
          <w:color w:val="auto"/>
          <w:u w:val="none"/>
        </w:rPr>
        <w:t xml:space="preserve">, </w:t>
      </w:r>
      <w:r w:rsidR="00501FC4" w:rsidRPr="00AB7AF8">
        <w:rPr>
          <w:rFonts w:ascii="Lato Light" w:hAnsi="Lato Light"/>
        </w:rPr>
        <w:t>templates and other information</w:t>
      </w:r>
    </w:p>
    <w:p w14:paraId="46D52E45" w14:textId="77777777" w:rsidR="001F6430" w:rsidRDefault="001F6430" w:rsidP="00731D3B">
      <w:pPr>
        <w:rPr>
          <w:rFonts w:ascii="Lato Light" w:hAnsi="Lato Light"/>
          <w:b/>
          <w:bCs/>
        </w:rPr>
      </w:pPr>
    </w:p>
    <w:p w14:paraId="6D419C6C" w14:textId="10E315AD" w:rsidR="004408D6" w:rsidRPr="004408D6" w:rsidRDefault="004408D6" w:rsidP="00731D3B">
      <w:pPr>
        <w:rPr>
          <w:rFonts w:ascii="Lato Light" w:hAnsi="Lato Light"/>
          <w:b/>
          <w:bCs/>
        </w:rPr>
      </w:pPr>
      <w:bookmarkStart w:id="3" w:name="_Hlk181264596"/>
      <w:r w:rsidRPr="004408D6">
        <w:rPr>
          <w:rFonts w:ascii="Lato Light" w:hAnsi="Lato Light"/>
          <w:b/>
          <w:bCs/>
        </w:rPr>
        <w:t xml:space="preserve">New Notices Required for </w:t>
      </w:r>
      <w:r>
        <w:rPr>
          <w:rFonts w:ascii="Lato Light" w:hAnsi="Lato Light"/>
          <w:b/>
          <w:bCs/>
        </w:rPr>
        <w:t xml:space="preserve">Employers </w:t>
      </w:r>
      <w:r w:rsidR="00501FC4">
        <w:rPr>
          <w:rFonts w:ascii="Lato Light" w:hAnsi="Lato Light"/>
          <w:b/>
          <w:bCs/>
        </w:rPr>
        <w:t>O</w:t>
      </w:r>
      <w:r>
        <w:rPr>
          <w:rFonts w:ascii="Lato Light" w:hAnsi="Lato Light"/>
          <w:b/>
          <w:bCs/>
        </w:rPr>
        <w:t xml:space="preserve">ffering </w:t>
      </w:r>
      <w:r w:rsidRPr="004408D6">
        <w:rPr>
          <w:rFonts w:ascii="Lato Light" w:hAnsi="Lato Light"/>
          <w:b/>
          <w:bCs/>
        </w:rPr>
        <w:t xml:space="preserve">Fixed </w:t>
      </w:r>
      <w:r w:rsidR="00474B78">
        <w:rPr>
          <w:rFonts w:ascii="Lato Light" w:hAnsi="Lato Light"/>
          <w:b/>
          <w:bCs/>
        </w:rPr>
        <w:t xml:space="preserve">Hospital </w:t>
      </w:r>
      <w:r w:rsidRPr="004408D6">
        <w:rPr>
          <w:rFonts w:ascii="Lato Light" w:hAnsi="Lato Light"/>
          <w:b/>
          <w:bCs/>
        </w:rPr>
        <w:t>Indemnity Insurance</w:t>
      </w:r>
    </w:p>
    <w:p w14:paraId="2BD40C4F" w14:textId="34ABCB99" w:rsidR="00731D3B" w:rsidRDefault="00731D3B" w:rsidP="00F60126">
      <w:pPr>
        <w:rPr>
          <w:rFonts w:ascii="Lato Light" w:hAnsi="Lato Light"/>
          <w:bCs/>
        </w:rPr>
      </w:pPr>
      <w:r w:rsidRPr="00731D3B">
        <w:rPr>
          <w:rFonts w:ascii="Lato Light" w:hAnsi="Lato Light"/>
          <w:bCs/>
        </w:rPr>
        <w:t xml:space="preserve">Employers offering </w:t>
      </w:r>
      <w:r w:rsidR="00F71275">
        <w:rPr>
          <w:rFonts w:ascii="Lato Light" w:hAnsi="Lato Light"/>
          <w:bCs/>
        </w:rPr>
        <w:t>‘</w:t>
      </w:r>
      <w:r w:rsidRPr="00731D3B">
        <w:rPr>
          <w:rFonts w:ascii="Lato Light" w:hAnsi="Lato Light"/>
          <w:bCs/>
        </w:rPr>
        <w:t>hospital and other fixed indemnity benefits</w:t>
      </w:r>
      <w:r w:rsidR="00F71275">
        <w:rPr>
          <w:rFonts w:ascii="Lato Light" w:hAnsi="Lato Light"/>
          <w:bCs/>
        </w:rPr>
        <w:t>’</w:t>
      </w:r>
      <w:r w:rsidRPr="00731D3B">
        <w:rPr>
          <w:rFonts w:ascii="Lato Light" w:hAnsi="Lato Light"/>
          <w:bCs/>
        </w:rPr>
        <w:t xml:space="preserve"> are required to provide a notice </w:t>
      </w:r>
      <w:r>
        <w:rPr>
          <w:rFonts w:ascii="Lato Light" w:hAnsi="Lato Light"/>
          <w:bCs/>
        </w:rPr>
        <w:t>for plan years beginning on or after</w:t>
      </w:r>
      <w:r w:rsidRPr="00731D3B">
        <w:rPr>
          <w:rFonts w:ascii="Lato Light" w:hAnsi="Lato Light"/>
          <w:bCs/>
        </w:rPr>
        <w:t xml:space="preserve"> January 1, 2025 telling participants that the coverage is not comprehensive health coverage. </w:t>
      </w:r>
    </w:p>
    <w:p w14:paraId="0CB942AF" w14:textId="78C148E0" w:rsidR="00731D3B" w:rsidRPr="00AB7AF8" w:rsidRDefault="00DD266E" w:rsidP="00731D3B">
      <w:pPr>
        <w:spacing w:after="0" w:line="240" w:lineRule="auto"/>
        <w:rPr>
          <w:rFonts w:ascii="Lato Light" w:hAnsi="Lato Light"/>
          <w:b/>
          <w:bCs/>
        </w:rPr>
      </w:pPr>
      <w:r>
        <w:rPr>
          <w:rFonts w:ascii="Lato Light" w:hAnsi="Lato Light"/>
          <w:b/>
          <w:bCs/>
        </w:rPr>
        <w:t>Applies To</w:t>
      </w:r>
      <w:r w:rsidR="00731D3B" w:rsidRPr="00AB7AF8">
        <w:rPr>
          <w:rFonts w:ascii="Lato Light" w:hAnsi="Lato Light"/>
          <w:b/>
          <w:bCs/>
        </w:rPr>
        <w:t xml:space="preserve">: </w:t>
      </w:r>
    </w:p>
    <w:p w14:paraId="3A3FEE9E" w14:textId="36D703BD" w:rsidR="00731D3B" w:rsidRPr="00AB7AF8" w:rsidRDefault="00731D3B" w:rsidP="00731D3B">
      <w:pPr>
        <w:numPr>
          <w:ilvl w:val="0"/>
          <w:numId w:val="16"/>
        </w:numPr>
        <w:spacing w:after="0" w:line="240" w:lineRule="auto"/>
        <w:rPr>
          <w:rFonts w:ascii="Lato Light" w:hAnsi="Lato Light"/>
        </w:rPr>
      </w:pPr>
      <w:r w:rsidRPr="00AB7AF8">
        <w:rPr>
          <w:rFonts w:ascii="Lato Light" w:hAnsi="Lato Light"/>
        </w:rPr>
        <w:t xml:space="preserve">Large employers </w:t>
      </w:r>
      <w:r w:rsidR="004408D6">
        <w:rPr>
          <w:rFonts w:ascii="Lato Light" w:hAnsi="Lato Light"/>
        </w:rPr>
        <w:t>offering fixed</w:t>
      </w:r>
      <w:r w:rsidR="00474B78">
        <w:rPr>
          <w:rFonts w:ascii="Lato Light" w:hAnsi="Lato Light"/>
        </w:rPr>
        <w:t xml:space="preserve"> hospital</w:t>
      </w:r>
      <w:r w:rsidR="004408D6">
        <w:rPr>
          <w:rFonts w:ascii="Lato Light" w:hAnsi="Lato Light"/>
        </w:rPr>
        <w:t xml:space="preserve"> indemnity benefits</w:t>
      </w:r>
      <w:r w:rsidRPr="00AB7AF8">
        <w:rPr>
          <w:rFonts w:ascii="Lato Light" w:hAnsi="Lato Light"/>
        </w:rPr>
        <w:t xml:space="preserve"> </w:t>
      </w:r>
    </w:p>
    <w:p w14:paraId="41B20255" w14:textId="671F5E3F" w:rsidR="00731D3B" w:rsidRPr="00AB7AF8" w:rsidRDefault="00731D3B" w:rsidP="00731D3B">
      <w:pPr>
        <w:numPr>
          <w:ilvl w:val="0"/>
          <w:numId w:val="16"/>
        </w:numPr>
        <w:spacing w:after="0" w:line="240" w:lineRule="auto"/>
        <w:rPr>
          <w:rFonts w:ascii="Lato Light" w:hAnsi="Lato Light"/>
        </w:rPr>
      </w:pPr>
      <w:r w:rsidRPr="00AB7AF8">
        <w:rPr>
          <w:rFonts w:ascii="Lato Light" w:hAnsi="Lato Light"/>
        </w:rPr>
        <w:t xml:space="preserve">Small employers </w:t>
      </w:r>
      <w:r w:rsidR="004408D6">
        <w:rPr>
          <w:rFonts w:ascii="Lato Light" w:hAnsi="Lato Light"/>
        </w:rPr>
        <w:t xml:space="preserve">offering fixed </w:t>
      </w:r>
      <w:r w:rsidR="00474B78">
        <w:rPr>
          <w:rFonts w:ascii="Lato Light" w:hAnsi="Lato Light"/>
        </w:rPr>
        <w:t xml:space="preserve">hospital </w:t>
      </w:r>
      <w:r w:rsidR="004408D6">
        <w:rPr>
          <w:rFonts w:ascii="Lato Light" w:hAnsi="Lato Light"/>
        </w:rPr>
        <w:t>indemnity benefits</w:t>
      </w:r>
    </w:p>
    <w:bookmarkEnd w:id="3"/>
    <w:p w14:paraId="65105609" w14:textId="77777777" w:rsidR="00731D3B" w:rsidRPr="00AB7AF8" w:rsidRDefault="00731D3B" w:rsidP="00731D3B">
      <w:pPr>
        <w:spacing w:after="0" w:line="240" w:lineRule="auto"/>
        <w:rPr>
          <w:rFonts w:ascii="Lato Light" w:hAnsi="Lato Light"/>
        </w:rPr>
      </w:pPr>
    </w:p>
    <w:p w14:paraId="0531773A" w14:textId="6939FC3A" w:rsidR="00731D3B" w:rsidRDefault="00731D3B" w:rsidP="004408D6">
      <w:pPr>
        <w:spacing w:after="0" w:line="240" w:lineRule="auto"/>
        <w:rPr>
          <w:rFonts w:ascii="Lato Light" w:hAnsi="Lato Light"/>
          <w:b/>
          <w:bCs/>
        </w:rPr>
      </w:pPr>
      <w:r w:rsidRPr="00AB7AF8">
        <w:rPr>
          <w:rFonts w:ascii="Lato Light" w:hAnsi="Lato Light"/>
          <w:b/>
          <w:bCs/>
        </w:rPr>
        <w:t>Go Deeper:</w:t>
      </w:r>
    </w:p>
    <w:p w14:paraId="708E3C98" w14:textId="77777777" w:rsidR="004408D6" w:rsidRPr="004408D6" w:rsidRDefault="004408D6" w:rsidP="004408D6">
      <w:pPr>
        <w:spacing w:after="0" w:line="240" w:lineRule="auto"/>
        <w:rPr>
          <w:rFonts w:ascii="Lato Light" w:hAnsi="Lato Light"/>
          <w:b/>
          <w:bCs/>
        </w:rPr>
      </w:pPr>
    </w:p>
    <w:p w14:paraId="1B44AD04" w14:textId="396F8029" w:rsidR="004408D6" w:rsidRDefault="004408D6" w:rsidP="00F60126">
      <w:pPr>
        <w:rPr>
          <w:rFonts w:ascii="Lato Light" w:hAnsi="Lato Light"/>
          <w:bCs/>
        </w:rPr>
      </w:pPr>
      <w:r>
        <w:rPr>
          <w:rFonts w:ascii="Lato Light" w:hAnsi="Lato Light"/>
          <w:bCs/>
        </w:rPr>
        <w:t xml:space="preserve">Fixed indemnity benefits typically provide a flat cash amount following the occurrence of a health-related event, such as hospitalization or illness at a predetermined level regardless of claims incurred under the major medical plan. </w:t>
      </w:r>
    </w:p>
    <w:p w14:paraId="6FF5F6D9" w14:textId="10D724CB" w:rsidR="004408D6" w:rsidRDefault="00731D3B" w:rsidP="00F60126">
      <w:pPr>
        <w:rPr>
          <w:rFonts w:ascii="Lato Light" w:hAnsi="Lato Light"/>
          <w:bCs/>
        </w:rPr>
      </w:pPr>
      <w:r w:rsidRPr="00731D3B">
        <w:rPr>
          <w:rFonts w:ascii="Lato Light" w:hAnsi="Lato Light"/>
          <w:bCs/>
        </w:rPr>
        <w:t xml:space="preserve">Specifically, the </w:t>
      </w:r>
      <w:r w:rsidR="00474B78">
        <w:rPr>
          <w:rFonts w:ascii="Lato Light" w:hAnsi="Lato Light"/>
          <w:bCs/>
        </w:rPr>
        <w:t xml:space="preserve">new </w:t>
      </w:r>
      <w:r w:rsidRPr="00731D3B">
        <w:rPr>
          <w:rFonts w:ascii="Lato Light" w:hAnsi="Lato Light"/>
          <w:bCs/>
        </w:rPr>
        <w:t xml:space="preserve">notice must be provided </w:t>
      </w:r>
      <w:r w:rsidR="00305874">
        <w:rPr>
          <w:rFonts w:ascii="Lato Light" w:hAnsi="Lato Light"/>
          <w:bCs/>
        </w:rPr>
        <w:t>when</w:t>
      </w:r>
      <w:r w:rsidRPr="00731D3B">
        <w:rPr>
          <w:rFonts w:ascii="Lato Light" w:hAnsi="Lato Light"/>
          <w:bCs/>
        </w:rPr>
        <w:t xml:space="preserve"> participants </w:t>
      </w:r>
      <w:r w:rsidR="00305874">
        <w:rPr>
          <w:rFonts w:ascii="Lato Light" w:hAnsi="Lato Light"/>
          <w:bCs/>
        </w:rPr>
        <w:t xml:space="preserve">are presented materials about the plan and when they </w:t>
      </w:r>
      <w:r w:rsidRPr="00731D3B">
        <w:rPr>
          <w:rFonts w:ascii="Lato Light" w:hAnsi="Lato Light"/>
          <w:bCs/>
        </w:rPr>
        <w:t xml:space="preserve">have the chance to enroll or re-enroll. </w:t>
      </w:r>
      <w:r w:rsidR="005D6829" w:rsidRPr="005D6829">
        <w:rPr>
          <w:rFonts w:ascii="Lato Light" w:hAnsi="Lato Light"/>
          <w:bCs/>
        </w:rPr>
        <w:t>The new notice applies to hospital indemnity or other fixed indemnity insurance that pay</w:t>
      </w:r>
      <w:r w:rsidR="00305874">
        <w:rPr>
          <w:rFonts w:ascii="Lato Light" w:hAnsi="Lato Light"/>
          <w:bCs/>
        </w:rPr>
        <w:t>s</w:t>
      </w:r>
      <w:r w:rsidR="005D6829" w:rsidRPr="005D6829">
        <w:rPr>
          <w:rFonts w:ascii="Lato Light" w:hAnsi="Lato Light"/>
          <w:bCs/>
        </w:rPr>
        <w:t xml:space="preserve"> a</w:t>
      </w:r>
      <w:r w:rsidR="00305874">
        <w:rPr>
          <w:rFonts w:ascii="Lato Light" w:hAnsi="Lato Light"/>
          <w:bCs/>
        </w:rPr>
        <w:t xml:space="preserve"> flat amount</w:t>
      </w:r>
      <w:r w:rsidR="005D6829" w:rsidRPr="005D6829">
        <w:rPr>
          <w:rFonts w:ascii="Lato Light" w:hAnsi="Lato Light"/>
          <w:bCs/>
        </w:rPr>
        <w:t xml:space="preserve"> per day or per period.</w:t>
      </w:r>
    </w:p>
    <w:p w14:paraId="457E4B4F" w14:textId="49EE8017" w:rsidR="009830AC" w:rsidRPr="00731D3B" w:rsidRDefault="004408D6" w:rsidP="00F60126">
      <w:pPr>
        <w:rPr>
          <w:rFonts w:ascii="Lato Light" w:hAnsi="Lato Light"/>
          <w:bCs/>
        </w:rPr>
      </w:pPr>
      <w:r>
        <w:rPr>
          <w:rFonts w:ascii="Lato Light" w:hAnsi="Lato Light"/>
          <w:bCs/>
        </w:rPr>
        <w:t>Thus</w:t>
      </w:r>
      <w:r w:rsidR="00731D3B" w:rsidRPr="00731D3B">
        <w:rPr>
          <w:rFonts w:ascii="Lato Light" w:hAnsi="Lato Light"/>
          <w:bCs/>
        </w:rPr>
        <w:t>,</w:t>
      </w:r>
      <w:r>
        <w:rPr>
          <w:rFonts w:ascii="Lato Light" w:hAnsi="Lato Light"/>
          <w:bCs/>
        </w:rPr>
        <w:t xml:space="preserve"> employers offering </w:t>
      </w:r>
      <w:r w:rsidR="005D6829">
        <w:rPr>
          <w:rFonts w:ascii="Lato Light" w:hAnsi="Lato Light"/>
          <w:bCs/>
        </w:rPr>
        <w:t>hospital</w:t>
      </w:r>
      <w:r>
        <w:rPr>
          <w:rFonts w:ascii="Lato Light" w:hAnsi="Lato Light"/>
          <w:bCs/>
        </w:rPr>
        <w:t xml:space="preserve"> indemnity policies need to add the notice </w:t>
      </w:r>
      <w:r w:rsidR="00731D3B" w:rsidRPr="00731D3B">
        <w:rPr>
          <w:rFonts w:ascii="Lato Light" w:hAnsi="Lato Light"/>
          <w:bCs/>
        </w:rPr>
        <w:t>to open enrollment packets on the first page that discusses applicable benefits</w:t>
      </w:r>
      <w:r w:rsidR="00F12481">
        <w:rPr>
          <w:rFonts w:ascii="Lato Light" w:hAnsi="Lato Light"/>
          <w:bCs/>
        </w:rPr>
        <w:t xml:space="preserve"> beginning for the 2025 plan year</w:t>
      </w:r>
      <w:r w:rsidR="00305874">
        <w:rPr>
          <w:rFonts w:ascii="Lato Light" w:hAnsi="Lato Light"/>
          <w:bCs/>
        </w:rPr>
        <w:t>, and must include the new notice in online enrollment systems to show on the screen where such indemnity plans are presented for enrollment.</w:t>
      </w:r>
    </w:p>
    <w:p w14:paraId="60092F92" w14:textId="0C8C7FE5" w:rsidR="00F314EF" w:rsidRDefault="004408D6" w:rsidP="00F314EF">
      <w:pPr>
        <w:rPr>
          <w:rFonts w:ascii="Lato Light" w:hAnsi="Lato Light"/>
        </w:rPr>
      </w:pPr>
      <w:r w:rsidRPr="004408D6">
        <w:rPr>
          <w:rFonts w:ascii="Lato Light" w:hAnsi="Lato Light"/>
          <w:bCs/>
        </w:rPr>
        <w:t>The final rules provide</w:t>
      </w:r>
      <w:r>
        <w:rPr>
          <w:rFonts w:ascii="Lato Light" w:hAnsi="Lato Light"/>
          <w:bCs/>
        </w:rPr>
        <w:t xml:space="preserve"> a</w:t>
      </w:r>
      <w:r w:rsidRPr="004408D6">
        <w:rPr>
          <w:rFonts w:ascii="Lato Light" w:hAnsi="Lato Light"/>
          <w:bCs/>
        </w:rPr>
        <w:t xml:space="preserve"> </w:t>
      </w:r>
      <w:r>
        <w:rPr>
          <w:rFonts w:ascii="Lato Light" w:hAnsi="Lato Light"/>
          <w:bCs/>
        </w:rPr>
        <w:t>model</w:t>
      </w:r>
      <w:r w:rsidRPr="004408D6">
        <w:rPr>
          <w:rFonts w:ascii="Lato Light" w:hAnsi="Lato Light"/>
          <w:bCs/>
        </w:rPr>
        <w:t xml:space="preserve"> </w:t>
      </w:r>
      <w:r>
        <w:rPr>
          <w:rFonts w:ascii="Lato Light" w:hAnsi="Lato Light"/>
          <w:bCs/>
        </w:rPr>
        <w:t xml:space="preserve">notice </w:t>
      </w:r>
      <w:r w:rsidRPr="004408D6">
        <w:rPr>
          <w:rFonts w:ascii="Lato Light" w:hAnsi="Lato Light"/>
          <w:bCs/>
        </w:rPr>
        <w:t>(</w:t>
      </w:r>
      <w:r>
        <w:rPr>
          <w:rFonts w:ascii="Lato Light" w:hAnsi="Lato Light"/>
          <w:bCs/>
        </w:rPr>
        <w:t xml:space="preserve">see </w:t>
      </w:r>
      <w:r w:rsidRPr="004408D6">
        <w:rPr>
          <w:rFonts w:ascii="Lato Light" w:hAnsi="Lato Light"/>
          <w:bCs/>
        </w:rPr>
        <w:t>page 75)</w:t>
      </w:r>
      <w:r w:rsidR="00F314EF">
        <w:rPr>
          <w:rFonts w:ascii="Lato Light" w:hAnsi="Lato Light"/>
          <w:bCs/>
        </w:rPr>
        <w:t>:</w:t>
      </w:r>
      <w:r w:rsidRPr="004408D6">
        <w:rPr>
          <w:rFonts w:ascii="Lato Light" w:hAnsi="Lato Light"/>
          <w:bCs/>
        </w:rPr>
        <w:t> </w:t>
      </w:r>
      <w:r w:rsidR="00F314EF">
        <w:rPr>
          <w:rFonts w:ascii="Lato Light" w:hAnsi="Lato Light"/>
        </w:rPr>
        <w:t xml:space="preserve"> </w:t>
      </w:r>
      <w:hyperlink r:id="rId9" w:history="1">
        <w:r w:rsidR="00F314EF" w:rsidRPr="00F314EF">
          <w:rPr>
            <w:rStyle w:val="Hyperlink"/>
            <w:rFonts w:ascii="Lato Light" w:hAnsi="Lato Light"/>
          </w:rPr>
          <w:t xml:space="preserve">Fixed </w:t>
        </w:r>
        <w:r w:rsidR="00F314EF" w:rsidRPr="00F314EF">
          <w:rPr>
            <w:rStyle w:val="Hyperlink"/>
            <w:rFonts w:ascii="Lato Light" w:hAnsi="Lato Light"/>
          </w:rPr>
          <w:t>I</w:t>
        </w:r>
        <w:r w:rsidR="00F314EF" w:rsidRPr="00F314EF">
          <w:rPr>
            <w:rStyle w:val="Hyperlink"/>
            <w:rFonts w:ascii="Lato Light" w:hAnsi="Lato Light"/>
          </w:rPr>
          <w:t>ndemnity Final Rule</w:t>
        </w:r>
      </w:hyperlink>
    </w:p>
    <w:p w14:paraId="79AB25FD" w14:textId="5B24469A" w:rsidR="00481F4A" w:rsidRDefault="00481F4A" w:rsidP="00DE05EE">
      <w:pPr>
        <w:spacing w:after="0" w:line="240" w:lineRule="auto"/>
        <w:rPr>
          <w:rFonts w:ascii="Lato Light" w:hAnsi="Lato Light"/>
        </w:rPr>
      </w:pPr>
    </w:p>
    <w:p w14:paraId="1D3C8931" w14:textId="77777777" w:rsidR="00474B78" w:rsidRDefault="00474B78" w:rsidP="00474B78">
      <w:pPr>
        <w:rPr>
          <w:rFonts w:ascii="Lato Light" w:hAnsi="Lato Light"/>
          <w:b/>
          <w:bCs/>
        </w:rPr>
      </w:pPr>
      <w:r>
        <w:rPr>
          <w:rFonts w:ascii="Lato Light" w:hAnsi="Lato Light"/>
          <w:b/>
          <w:bCs/>
        </w:rPr>
        <w:t>Federal Updates</w:t>
      </w:r>
      <w:r w:rsidRPr="00AB7AF8">
        <w:rPr>
          <w:rFonts w:ascii="Lato Light" w:hAnsi="Lato Light"/>
          <w:b/>
          <w:bCs/>
        </w:rPr>
        <w:t>:</w:t>
      </w:r>
    </w:p>
    <w:p w14:paraId="470E3EBA" w14:textId="5BD75853" w:rsidR="00DC5691" w:rsidRDefault="00DC5691" w:rsidP="00DC5691">
      <w:pPr>
        <w:spacing w:after="0" w:line="240" w:lineRule="auto"/>
        <w:rPr>
          <w:rFonts w:ascii="Lato Light" w:eastAsia="Times New Roman" w:hAnsi="Lato Light" w:cs="Calibri"/>
          <w:b/>
          <w:color w:val="000000"/>
        </w:rPr>
      </w:pPr>
      <w:r w:rsidRPr="00305874">
        <w:rPr>
          <w:rFonts w:ascii="Lato Light" w:eastAsia="Times New Roman" w:hAnsi="Lato Light" w:cs="Calibri"/>
          <w:b/>
          <w:color w:val="000000"/>
        </w:rPr>
        <w:t>Disaster Relief Deadline Extensions due to Hurricanes Helene and Milton</w:t>
      </w:r>
    </w:p>
    <w:p w14:paraId="619DE226" w14:textId="77777777" w:rsidR="00D80A73" w:rsidRPr="00305874" w:rsidRDefault="00D80A73" w:rsidP="00DC5691">
      <w:pPr>
        <w:spacing w:after="0" w:line="240" w:lineRule="auto"/>
        <w:rPr>
          <w:rFonts w:ascii="Lato Light" w:eastAsia="Times New Roman" w:hAnsi="Lato Light" w:cs="Calibri"/>
          <w:b/>
          <w:color w:val="000000"/>
        </w:rPr>
      </w:pPr>
    </w:p>
    <w:p w14:paraId="53075210" w14:textId="77777777" w:rsidR="00443D09" w:rsidRDefault="00DC5691" w:rsidP="00CD125E">
      <w:pPr>
        <w:rPr>
          <w:rFonts w:ascii="Lato Light" w:hAnsi="Lato Light"/>
        </w:rPr>
      </w:pPr>
      <w:r>
        <w:rPr>
          <w:rFonts w:ascii="Lato Light" w:hAnsi="Lato Light"/>
        </w:rPr>
        <w:t xml:space="preserve">Federal agencies have issued </w:t>
      </w:r>
      <w:hyperlink r:id="rId10" w:history="1">
        <w:r w:rsidRPr="00B01168">
          <w:rPr>
            <w:rStyle w:val="Hyperlink"/>
            <w:rFonts w:ascii="Lato Light" w:hAnsi="Lato Light"/>
          </w:rPr>
          <w:t xml:space="preserve">EBSA Disaster </w:t>
        </w:r>
        <w:r w:rsidRPr="00B01168">
          <w:rPr>
            <w:rStyle w:val="Hyperlink"/>
            <w:rFonts w:ascii="Lato Light" w:hAnsi="Lato Light"/>
          </w:rPr>
          <w:t>R</w:t>
        </w:r>
        <w:r w:rsidRPr="00B01168">
          <w:rPr>
            <w:rStyle w:val="Hyperlink"/>
            <w:rFonts w:ascii="Lato Light" w:hAnsi="Lato Light"/>
          </w:rPr>
          <w:t>elief Notice 2024-01</w:t>
        </w:r>
      </w:hyperlink>
      <w:r>
        <w:rPr>
          <w:rFonts w:ascii="Lato Light" w:hAnsi="Lato Light"/>
        </w:rPr>
        <w:t xml:space="preserve"> to provide legally protected relief from certain group health and disability plan deadlines due to the recent hurricanes.  The relief requirements were formally published in the </w:t>
      </w:r>
      <w:hyperlink r:id="rId11" w:history="1">
        <w:r w:rsidRPr="00275DF4">
          <w:rPr>
            <w:rStyle w:val="Hyperlink"/>
            <w:rFonts w:ascii="Lato Light" w:hAnsi="Lato Light"/>
          </w:rPr>
          <w:t>Federal</w:t>
        </w:r>
        <w:r w:rsidRPr="00275DF4">
          <w:rPr>
            <w:rStyle w:val="Hyperlink"/>
            <w:rFonts w:ascii="Lato Light" w:hAnsi="Lato Light"/>
          </w:rPr>
          <w:t xml:space="preserve"> </w:t>
        </w:r>
        <w:r w:rsidRPr="00275DF4">
          <w:rPr>
            <w:rStyle w:val="Hyperlink"/>
            <w:rFonts w:ascii="Lato Light" w:hAnsi="Lato Light"/>
          </w:rPr>
          <w:t>Register</w:t>
        </w:r>
      </w:hyperlink>
      <w:r>
        <w:rPr>
          <w:rFonts w:ascii="Lato Light" w:hAnsi="Lato Light"/>
        </w:rPr>
        <w:t xml:space="preserve"> on November 8, 2024.</w:t>
      </w:r>
      <w:r w:rsidR="00CD125E">
        <w:rPr>
          <w:rFonts w:ascii="Lato Light" w:hAnsi="Lato Light"/>
        </w:rPr>
        <w:t xml:space="preserve">  </w:t>
      </w:r>
    </w:p>
    <w:p w14:paraId="518091A7" w14:textId="2D0BD61A" w:rsidR="00CD125E" w:rsidRDefault="00CD125E" w:rsidP="00CD125E">
      <w:pPr>
        <w:rPr>
          <w:rFonts w:ascii="Lato Light" w:hAnsi="Lato Light"/>
        </w:rPr>
      </w:pPr>
      <w:r>
        <w:rPr>
          <w:rFonts w:ascii="Lato Light" w:hAnsi="Lato Light"/>
        </w:rPr>
        <w:t>If you recall the pandemic Outbreak Period relief, this relief operate</w:t>
      </w:r>
      <w:r w:rsidR="00F314EF">
        <w:rPr>
          <w:rFonts w:ascii="Lato Light" w:hAnsi="Lato Light"/>
        </w:rPr>
        <w:t>s</w:t>
      </w:r>
      <w:r>
        <w:rPr>
          <w:rFonts w:ascii="Lato Light" w:hAnsi="Lato Light"/>
        </w:rPr>
        <w:t xml:space="preserve"> the same way.</w:t>
      </w:r>
    </w:p>
    <w:p w14:paraId="39D4E76A" w14:textId="22E96958" w:rsidR="00CD125E" w:rsidRPr="00CD125E" w:rsidRDefault="00CD125E" w:rsidP="00DC5691">
      <w:pPr>
        <w:rPr>
          <w:rFonts w:ascii="Lato Light" w:hAnsi="Lato Light"/>
          <w:b/>
          <w:bCs/>
        </w:rPr>
      </w:pPr>
      <w:r w:rsidRPr="00CD125E">
        <w:rPr>
          <w:rFonts w:ascii="Lato Light" w:hAnsi="Lato Light"/>
          <w:b/>
          <w:bCs/>
        </w:rPr>
        <w:lastRenderedPageBreak/>
        <w:t>Applies To:</w:t>
      </w:r>
    </w:p>
    <w:p w14:paraId="7CA74424" w14:textId="58EB7AAC" w:rsidR="00CD125E" w:rsidRDefault="00DC5691" w:rsidP="00CD125E">
      <w:pPr>
        <w:pStyle w:val="ListParagraph"/>
        <w:numPr>
          <w:ilvl w:val="0"/>
          <w:numId w:val="28"/>
        </w:numPr>
        <w:rPr>
          <w:rFonts w:ascii="Lato Light" w:hAnsi="Lato Light"/>
        </w:rPr>
      </w:pPr>
      <w:r w:rsidRPr="00CD125E">
        <w:rPr>
          <w:rFonts w:ascii="Lato Light" w:hAnsi="Lato Light"/>
        </w:rPr>
        <w:t>All employers sponsoring ERISA group health and/or disability plans with</w:t>
      </w:r>
      <w:r w:rsidR="00CD125E">
        <w:rPr>
          <w:rFonts w:ascii="Lato Light" w:hAnsi="Lato Light"/>
        </w:rPr>
        <w:t xml:space="preserve"> eligible individuals affected by the hurricane or tropical storm</w:t>
      </w:r>
      <w:r w:rsidRPr="00CD125E">
        <w:rPr>
          <w:rFonts w:ascii="Lato Light" w:hAnsi="Lato Light"/>
        </w:rPr>
        <w:t xml:space="preserve">.  </w:t>
      </w:r>
    </w:p>
    <w:p w14:paraId="08893C91" w14:textId="39991BA0" w:rsidR="00DC5691" w:rsidRPr="00CD125E" w:rsidRDefault="00CD125E" w:rsidP="00CD125E">
      <w:pPr>
        <w:pStyle w:val="ListParagraph"/>
        <w:numPr>
          <w:ilvl w:val="0"/>
          <w:numId w:val="28"/>
        </w:numPr>
        <w:rPr>
          <w:rFonts w:ascii="Lato Light" w:hAnsi="Lato Light"/>
        </w:rPr>
      </w:pPr>
      <w:r>
        <w:rPr>
          <w:rFonts w:ascii="Lato Light" w:hAnsi="Lato Light"/>
        </w:rPr>
        <w:t>N</w:t>
      </w:r>
      <w:r w:rsidR="00DC5691" w:rsidRPr="00CD125E">
        <w:rPr>
          <w:rFonts w:ascii="Lato Light" w:hAnsi="Lato Light"/>
        </w:rPr>
        <w:t xml:space="preserve">on-ERISA governmental and church plans might be exempt, but they are </w:t>
      </w:r>
      <w:hyperlink r:id="rId12" w:history="1">
        <w:r w:rsidR="00DC5691" w:rsidRPr="00443D09">
          <w:rPr>
            <w:rStyle w:val="Hyperlink"/>
            <w:rFonts w:ascii="Lato Light" w:hAnsi="Lato Light"/>
          </w:rPr>
          <w:t>enc</w:t>
        </w:r>
        <w:r w:rsidR="00DC5691" w:rsidRPr="00443D09">
          <w:rPr>
            <w:rStyle w:val="Hyperlink"/>
            <w:rFonts w:ascii="Lato Light" w:hAnsi="Lato Light"/>
          </w:rPr>
          <w:t>o</w:t>
        </w:r>
        <w:r w:rsidR="00DC5691" w:rsidRPr="00443D09">
          <w:rPr>
            <w:rStyle w:val="Hyperlink"/>
            <w:rFonts w:ascii="Lato Light" w:hAnsi="Lato Light"/>
          </w:rPr>
          <w:t>uraged</w:t>
        </w:r>
      </w:hyperlink>
      <w:r w:rsidR="00DC5691" w:rsidRPr="00CD125E">
        <w:rPr>
          <w:rFonts w:ascii="Lato Light" w:hAnsi="Lato Light"/>
        </w:rPr>
        <w:t xml:space="preserve"> to participate.</w:t>
      </w:r>
    </w:p>
    <w:p w14:paraId="046F4FBE" w14:textId="77777777" w:rsidR="00CD125E" w:rsidRDefault="00CD125E" w:rsidP="00DC5691">
      <w:pPr>
        <w:rPr>
          <w:rFonts w:ascii="Lato Light" w:hAnsi="Lato Light"/>
          <w:b/>
          <w:bCs/>
        </w:rPr>
      </w:pPr>
      <w:r>
        <w:rPr>
          <w:rFonts w:ascii="Lato Light" w:hAnsi="Lato Light"/>
          <w:b/>
          <w:bCs/>
        </w:rPr>
        <w:t>Go Deeper:</w:t>
      </w:r>
    </w:p>
    <w:p w14:paraId="5B4B2378" w14:textId="61DA07EF" w:rsidR="00DC5691" w:rsidRPr="00CD125E" w:rsidRDefault="00DC5691" w:rsidP="00DC5691">
      <w:pPr>
        <w:rPr>
          <w:rFonts w:ascii="Lato Light" w:hAnsi="Lato Light"/>
          <w:b/>
          <w:bCs/>
          <w:i/>
          <w:iCs/>
        </w:rPr>
      </w:pPr>
      <w:r w:rsidRPr="00CD125E">
        <w:rPr>
          <w:rFonts w:ascii="Lato Light" w:hAnsi="Lato Light"/>
          <w:b/>
          <w:bCs/>
          <w:i/>
          <w:iCs/>
        </w:rPr>
        <w:t>Impacted Individuals Eligible for Relief</w:t>
      </w:r>
    </w:p>
    <w:p w14:paraId="6C9C98F2" w14:textId="31B85EE4" w:rsidR="00DC5691" w:rsidRDefault="00CD125E" w:rsidP="00DC5691">
      <w:pPr>
        <w:rPr>
          <w:rFonts w:ascii="Lato Light" w:hAnsi="Lato Light"/>
        </w:rPr>
      </w:pPr>
      <w:r>
        <w:rPr>
          <w:rFonts w:ascii="Lato Light" w:hAnsi="Lato Light"/>
        </w:rPr>
        <w:t>ERISA</w:t>
      </w:r>
      <w:r w:rsidR="00DC5691">
        <w:rPr>
          <w:rFonts w:ascii="Lato Light" w:hAnsi="Lato Light"/>
        </w:rPr>
        <w:t xml:space="preserve"> health and disability plans must comply with legally protected “Relief Periods” for individuals who</w:t>
      </w:r>
      <w:r>
        <w:rPr>
          <w:rFonts w:ascii="Lato Light" w:hAnsi="Lato Light"/>
        </w:rPr>
        <w:t xml:space="preserve"> </w:t>
      </w:r>
      <w:r w:rsidR="00DC5691">
        <w:rPr>
          <w:rFonts w:ascii="Lato Light" w:hAnsi="Lato Light"/>
        </w:rPr>
        <w:t>resided, lived, or worked in one of the Covered Disaster areas eligible for FEMA Individual Assistance:</w:t>
      </w:r>
    </w:p>
    <w:tbl>
      <w:tblPr>
        <w:tblStyle w:val="TableGrid"/>
        <w:tblW w:w="0" w:type="auto"/>
        <w:tblLook w:val="04A0" w:firstRow="1" w:lastRow="0" w:firstColumn="1" w:lastColumn="0" w:noHBand="0" w:noVBand="1"/>
      </w:tblPr>
      <w:tblGrid>
        <w:gridCol w:w="5305"/>
        <w:gridCol w:w="3505"/>
      </w:tblGrid>
      <w:tr w:rsidR="00DC5691" w14:paraId="5D3AE380" w14:textId="77777777" w:rsidTr="00CD125E">
        <w:tc>
          <w:tcPr>
            <w:tcW w:w="5305" w:type="dxa"/>
          </w:tcPr>
          <w:p w14:paraId="4EA45A66" w14:textId="77777777" w:rsidR="00DC5691" w:rsidRPr="00C1366C" w:rsidRDefault="00DC5691" w:rsidP="008E2F82">
            <w:pPr>
              <w:rPr>
                <w:rFonts w:ascii="Lato Light" w:hAnsi="Lato Light"/>
                <w:b/>
                <w:bCs/>
              </w:rPr>
            </w:pPr>
            <w:r w:rsidRPr="00C1366C">
              <w:rPr>
                <w:rFonts w:ascii="Lato Light" w:hAnsi="Lato Light"/>
                <w:b/>
                <w:bCs/>
              </w:rPr>
              <w:t>Covered Disaster Area</w:t>
            </w:r>
          </w:p>
        </w:tc>
        <w:tc>
          <w:tcPr>
            <w:tcW w:w="3505" w:type="dxa"/>
          </w:tcPr>
          <w:p w14:paraId="122CD6D8" w14:textId="77777777" w:rsidR="00DC5691" w:rsidRPr="00C1366C" w:rsidRDefault="00DC5691" w:rsidP="008E2F82">
            <w:pPr>
              <w:rPr>
                <w:rFonts w:ascii="Lato Light" w:hAnsi="Lato Light"/>
                <w:b/>
                <w:bCs/>
              </w:rPr>
            </w:pPr>
            <w:r w:rsidRPr="00C1366C">
              <w:rPr>
                <w:rFonts w:ascii="Lato Light" w:hAnsi="Lato Light"/>
                <w:b/>
                <w:bCs/>
              </w:rPr>
              <w:t>Relief Period</w:t>
            </w:r>
          </w:p>
        </w:tc>
      </w:tr>
      <w:tr w:rsidR="00DC5691" w14:paraId="340C2040" w14:textId="77777777" w:rsidTr="00CD125E">
        <w:tc>
          <w:tcPr>
            <w:tcW w:w="5305" w:type="dxa"/>
          </w:tcPr>
          <w:p w14:paraId="373686D5" w14:textId="1A11EABB" w:rsidR="00DC5691" w:rsidRDefault="00DC5691" w:rsidP="008E2F82">
            <w:pPr>
              <w:rPr>
                <w:rFonts w:ascii="Lato Light" w:hAnsi="Lato Light"/>
              </w:rPr>
            </w:pPr>
            <w:r>
              <w:rPr>
                <w:rFonts w:ascii="Lato Light" w:hAnsi="Lato Light"/>
              </w:rPr>
              <w:t xml:space="preserve">Helene </w:t>
            </w:r>
            <w:r w:rsidR="00CD125E">
              <w:rPr>
                <w:rFonts w:ascii="Lato Light" w:hAnsi="Lato Light"/>
              </w:rPr>
              <w:t>Individual Assistance</w:t>
            </w:r>
            <w:r>
              <w:rPr>
                <w:rFonts w:ascii="Lato Light" w:hAnsi="Lato Light"/>
              </w:rPr>
              <w:t xml:space="preserve"> areas in </w:t>
            </w:r>
            <w:hyperlink r:id="rId13" w:anchor="individual-assistance" w:history="1">
              <w:r w:rsidRPr="00F91961">
                <w:rPr>
                  <w:rStyle w:val="Hyperlink"/>
                  <w:rFonts w:ascii="Lato Light" w:hAnsi="Lato Light"/>
                </w:rPr>
                <w:t>F</w:t>
              </w:r>
              <w:r w:rsidRPr="00F91961">
                <w:rPr>
                  <w:rStyle w:val="Hyperlink"/>
                  <w:rFonts w:ascii="Lato Light" w:hAnsi="Lato Light"/>
                </w:rPr>
                <w:t>L</w:t>
              </w:r>
            </w:hyperlink>
          </w:p>
        </w:tc>
        <w:tc>
          <w:tcPr>
            <w:tcW w:w="3505" w:type="dxa"/>
          </w:tcPr>
          <w:p w14:paraId="41DF7158" w14:textId="77777777" w:rsidR="00DC5691" w:rsidRDefault="00DC5691" w:rsidP="008E2F82">
            <w:pPr>
              <w:rPr>
                <w:rFonts w:ascii="Lato Light" w:hAnsi="Lato Light"/>
              </w:rPr>
            </w:pPr>
            <w:r>
              <w:rPr>
                <w:rFonts w:ascii="Lato Light" w:hAnsi="Lato Light"/>
              </w:rPr>
              <w:t>9/23/24 through 5/1/25</w:t>
            </w:r>
          </w:p>
        </w:tc>
      </w:tr>
      <w:tr w:rsidR="00DC5691" w14:paraId="6C67DF30" w14:textId="77777777" w:rsidTr="00CD125E">
        <w:tc>
          <w:tcPr>
            <w:tcW w:w="5305" w:type="dxa"/>
          </w:tcPr>
          <w:p w14:paraId="503E0493" w14:textId="5760B3C6" w:rsidR="00DC5691" w:rsidRDefault="00DC5691" w:rsidP="008E2F82">
            <w:pPr>
              <w:rPr>
                <w:rFonts w:ascii="Lato Light" w:hAnsi="Lato Light"/>
              </w:rPr>
            </w:pPr>
            <w:r>
              <w:rPr>
                <w:rFonts w:ascii="Lato Light" w:hAnsi="Lato Light"/>
              </w:rPr>
              <w:t xml:space="preserve">Helene </w:t>
            </w:r>
            <w:r w:rsidR="00CD125E">
              <w:rPr>
                <w:rFonts w:ascii="Lato Light" w:hAnsi="Lato Light"/>
              </w:rPr>
              <w:t>Individual Assistance</w:t>
            </w:r>
            <w:r>
              <w:rPr>
                <w:rFonts w:ascii="Lato Light" w:hAnsi="Lato Light"/>
              </w:rPr>
              <w:t xml:space="preserve"> areas in </w:t>
            </w:r>
            <w:hyperlink r:id="rId14" w:anchor="individual-assistance" w:history="1">
              <w:r w:rsidRPr="00F91961">
                <w:rPr>
                  <w:rStyle w:val="Hyperlink"/>
                  <w:rFonts w:ascii="Lato Light" w:hAnsi="Lato Light"/>
                </w:rPr>
                <w:t>GA</w:t>
              </w:r>
            </w:hyperlink>
          </w:p>
        </w:tc>
        <w:tc>
          <w:tcPr>
            <w:tcW w:w="3505" w:type="dxa"/>
          </w:tcPr>
          <w:p w14:paraId="7642669F" w14:textId="77777777" w:rsidR="00DC5691" w:rsidRDefault="00DC5691" w:rsidP="008E2F82">
            <w:pPr>
              <w:rPr>
                <w:rFonts w:ascii="Lato Light" w:hAnsi="Lato Light"/>
              </w:rPr>
            </w:pPr>
            <w:r>
              <w:rPr>
                <w:rFonts w:ascii="Lato Light" w:hAnsi="Lato Light"/>
              </w:rPr>
              <w:t>9/24/24 through 5/1/25</w:t>
            </w:r>
          </w:p>
        </w:tc>
      </w:tr>
      <w:tr w:rsidR="00DC5691" w14:paraId="51DAB993" w14:textId="77777777" w:rsidTr="00CD125E">
        <w:tc>
          <w:tcPr>
            <w:tcW w:w="5305" w:type="dxa"/>
          </w:tcPr>
          <w:p w14:paraId="67EA3756" w14:textId="59004A1D" w:rsidR="00DC5691" w:rsidRDefault="00DC5691" w:rsidP="008E2F82">
            <w:pPr>
              <w:rPr>
                <w:rFonts w:ascii="Lato Light" w:hAnsi="Lato Light"/>
              </w:rPr>
            </w:pPr>
            <w:r>
              <w:rPr>
                <w:rFonts w:ascii="Lato Light" w:hAnsi="Lato Light"/>
              </w:rPr>
              <w:t xml:space="preserve">Helene </w:t>
            </w:r>
            <w:r w:rsidR="00CD125E">
              <w:rPr>
                <w:rFonts w:ascii="Lato Light" w:hAnsi="Lato Light"/>
              </w:rPr>
              <w:t>Individual Assistance</w:t>
            </w:r>
            <w:r>
              <w:rPr>
                <w:rFonts w:ascii="Lato Light" w:hAnsi="Lato Light"/>
              </w:rPr>
              <w:t xml:space="preserve"> areas in </w:t>
            </w:r>
            <w:hyperlink r:id="rId15" w:anchor="individual-assistance" w:history="1">
              <w:r w:rsidRPr="00F91961">
                <w:rPr>
                  <w:rStyle w:val="Hyperlink"/>
                  <w:rFonts w:ascii="Lato Light" w:hAnsi="Lato Light"/>
                </w:rPr>
                <w:t>SC</w:t>
              </w:r>
            </w:hyperlink>
            <w:r>
              <w:rPr>
                <w:rFonts w:ascii="Lato Light" w:hAnsi="Lato Light"/>
              </w:rPr>
              <w:t xml:space="preserve">, </w:t>
            </w:r>
            <w:hyperlink r:id="rId16" w:anchor="individual-assistance" w:history="1">
              <w:r w:rsidRPr="00F91961">
                <w:rPr>
                  <w:rStyle w:val="Hyperlink"/>
                  <w:rFonts w:ascii="Lato Light" w:hAnsi="Lato Light"/>
                </w:rPr>
                <w:t>N</w:t>
              </w:r>
              <w:r w:rsidRPr="00F91961">
                <w:rPr>
                  <w:rStyle w:val="Hyperlink"/>
                  <w:rFonts w:ascii="Lato Light" w:hAnsi="Lato Light"/>
                </w:rPr>
                <w:t>C</w:t>
              </w:r>
            </w:hyperlink>
            <w:r>
              <w:rPr>
                <w:rFonts w:ascii="Lato Light" w:hAnsi="Lato Light"/>
              </w:rPr>
              <w:t xml:space="preserve">, and </w:t>
            </w:r>
            <w:hyperlink r:id="rId17" w:anchor="individual-assistance" w:history="1">
              <w:r w:rsidRPr="00F91961">
                <w:rPr>
                  <w:rStyle w:val="Hyperlink"/>
                  <w:rFonts w:ascii="Lato Light" w:hAnsi="Lato Light"/>
                </w:rPr>
                <w:t>VA</w:t>
              </w:r>
            </w:hyperlink>
          </w:p>
        </w:tc>
        <w:tc>
          <w:tcPr>
            <w:tcW w:w="3505" w:type="dxa"/>
          </w:tcPr>
          <w:p w14:paraId="1F59C4AC" w14:textId="77777777" w:rsidR="00DC5691" w:rsidRDefault="00DC5691" w:rsidP="008E2F82">
            <w:pPr>
              <w:rPr>
                <w:rFonts w:ascii="Lato Light" w:hAnsi="Lato Light"/>
              </w:rPr>
            </w:pPr>
            <w:r>
              <w:rPr>
                <w:rFonts w:ascii="Lato Light" w:hAnsi="Lato Light"/>
              </w:rPr>
              <w:t>9/25/24 through 5/1/25</w:t>
            </w:r>
          </w:p>
        </w:tc>
      </w:tr>
      <w:tr w:rsidR="00DC5691" w14:paraId="305160D6" w14:textId="77777777" w:rsidTr="00CD125E">
        <w:tc>
          <w:tcPr>
            <w:tcW w:w="5305" w:type="dxa"/>
          </w:tcPr>
          <w:p w14:paraId="4F0E13FE" w14:textId="25EC8DDD" w:rsidR="00DC5691" w:rsidRDefault="00DC5691" w:rsidP="008E2F82">
            <w:pPr>
              <w:rPr>
                <w:rFonts w:ascii="Lato Light" w:hAnsi="Lato Light"/>
              </w:rPr>
            </w:pPr>
            <w:r>
              <w:rPr>
                <w:rFonts w:ascii="Lato Light" w:hAnsi="Lato Light"/>
              </w:rPr>
              <w:t xml:space="preserve">Helene </w:t>
            </w:r>
            <w:r w:rsidR="00CD125E">
              <w:rPr>
                <w:rFonts w:ascii="Lato Light" w:hAnsi="Lato Light"/>
              </w:rPr>
              <w:t>Individual Assistance</w:t>
            </w:r>
            <w:r>
              <w:rPr>
                <w:rFonts w:ascii="Lato Light" w:hAnsi="Lato Light"/>
              </w:rPr>
              <w:t xml:space="preserve"> areas in </w:t>
            </w:r>
            <w:hyperlink r:id="rId18" w:anchor="individual-assistance" w:history="1">
              <w:r w:rsidRPr="00F91961">
                <w:rPr>
                  <w:rStyle w:val="Hyperlink"/>
                  <w:rFonts w:ascii="Lato Light" w:hAnsi="Lato Light"/>
                </w:rPr>
                <w:t>TN</w:t>
              </w:r>
            </w:hyperlink>
          </w:p>
        </w:tc>
        <w:tc>
          <w:tcPr>
            <w:tcW w:w="3505" w:type="dxa"/>
          </w:tcPr>
          <w:p w14:paraId="6A21DE13" w14:textId="77777777" w:rsidR="00DC5691" w:rsidRDefault="00DC5691" w:rsidP="008E2F82">
            <w:pPr>
              <w:rPr>
                <w:rFonts w:ascii="Lato Light" w:hAnsi="Lato Light"/>
              </w:rPr>
            </w:pPr>
            <w:r>
              <w:rPr>
                <w:rFonts w:ascii="Lato Light" w:hAnsi="Lato Light"/>
              </w:rPr>
              <w:t>9/26/24 through 5/1/25</w:t>
            </w:r>
          </w:p>
        </w:tc>
      </w:tr>
      <w:tr w:rsidR="00DC5691" w14:paraId="45E43D36" w14:textId="77777777" w:rsidTr="00CD125E">
        <w:tc>
          <w:tcPr>
            <w:tcW w:w="5305" w:type="dxa"/>
          </w:tcPr>
          <w:p w14:paraId="3CFCB4BB" w14:textId="677A578F" w:rsidR="00DC5691" w:rsidRDefault="00DC5691" w:rsidP="008E2F82">
            <w:pPr>
              <w:rPr>
                <w:rFonts w:ascii="Lato Light" w:hAnsi="Lato Light"/>
              </w:rPr>
            </w:pPr>
            <w:r>
              <w:rPr>
                <w:rFonts w:ascii="Lato Light" w:hAnsi="Lato Light"/>
              </w:rPr>
              <w:t xml:space="preserve">Milton </w:t>
            </w:r>
            <w:r w:rsidR="00CD125E">
              <w:rPr>
                <w:rFonts w:ascii="Lato Light" w:hAnsi="Lato Light"/>
              </w:rPr>
              <w:t>Individual Assistance</w:t>
            </w:r>
            <w:r>
              <w:rPr>
                <w:rFonts w:ascii="Lato Light" w:hAnsi="Lato Light"/>
              </w:rPr>
              <w:t xml:space="preserve"> areas in </w:t>
            </w:r>
            <w:hyperlink r:id="rId19" w:anchor="individual-assistance" w:history="1">
              <w:r w:rsidRPr="00F91961">
                <w:rPr>
                  <w:rStyle w:val="Hyperlink"/>
                  <w:rFonts w:ascii="Lato Light" w:hAnsi="Lato Light"/>
                </w:rPr>
                <w:t>FL</w:t>
              </w:r>
            </w:hyperlink>
            <w:r>
              <w:rPr>
                <w:rFonts w:ascii="Lato Light" w:hAnsi="Lato Light"/>
              </w:rPr>
              <w:t xml:space="preserve"> not already included in the Helene FL disaster areas above</w:t>
            </w:r>
          </w:p>
        </w:tc>
        <w:tc>
          <w:tcPr>
            <w:tcW w:w="3505" w:type="dxa"/>
          </w:tcPr>
          <w:p w14:paraId="45AE2C3F" w14:textId="77777777" w:rsidR="00DC5691" w:rsidRDefault="00DC5691" w:rsidP="008E2F82">
            <w:pPr>
              <w:rPr>
                <w:rFonts w:ascii="Lato Light" w:hAnsi="Lato Light"/>
              </w:rPr>
            </w:pPr>
            <w:r>
              <w:rPr>
                <w:rFonts w:ascii="Lato Light" w:hAnsi="Lato Light"/>
              </w:rPr>
              <w:t>10/5/24 through 5/1/25</w:t>
            </w:r>
          </w:p>
        </w:tc>
      </w:tr>
    </w:tbl>
    <w:p w14:paraId="600D0FAA" w14:textId="77777777" w:rsidR="00DC5691" w:rsidRDefault="00DC5691" w:rsidP="00DC5691">
      <w:pPr>
        <w:rPr>
          <w:rFonts w:ascii="Lato Light" w:hAnsi="Lato Light"/>
        </w:rPr>
      </w:pPr>
    </w:p>
    <w:p w14:paraId="0AD08A43" w14:textId="33DACFA4" w:rsidR="00CD125E" w:rsidRDefault="00CD125E" w:rsidP="00DC5691">
      <w:pPr>
        <w:rPr>
          <w:rFonts w:ascii="Lato Light" w:hAnsi="Lato Light"/>
        </w:rPr>
      </w:pPr>
      <w:r>
        <w:rPr>
          <w:rFonts w:ascii="Lato Light" w:hAnsi="Lato Light"/>
        </w:rPr>
        <w:t xml:space="preserve">Also, individuals covered under a plan </w:t>
      </w:r>
      <w:r w:rsidR="00443D09">
        <w:rPr>
          <w:rFonts w:ascii="Lato Light" w:hAnsi="Lato Light"/>
        </w:rPr>
        <w:t xml:space="preserve">directly </w:t>
      </w:r>
      <w:r>
        <w:rPr>
          <w:rFonts w:ascii="Lato Light" w:hAnsi="Lato Light"/>
        </w:rPr>
        <w:t>impacted by a Covered Disaster are also eligible for the relief if:</w:t>
      </w:r>
    </w:p>
    <w:p w14:paraId="6AAAEDE8" w14:textId="2F2B0B7D" w:rsidR="00CD125E" w:rsidRDefault="00CD125E" w:rsidP="00F314EF">
      <w:pPr>
        <w:pStyle w:val="ListParagraph"/>
        <w:numPr>
          <w:ilvl w:val="0"/>
          <w:numId w:val="30"/>
        </w:numPr>
        <w:rPr>
          <w:rFonts w:ascii="Lato Light" w:hAnsi="Lato Light"/>
        </w:rPr>
      </w:pPr>
      <w:r>
        <w:rPr>
          <w:rFonts w:ascii="Lato Light" w:hAnsi="Lato Light"/>
        </w:rPr>
        <w:t>The principal place of business of the employer that maintains the plan,</w:t>
      </w:r>
    </w:p>
    <w:p w14:paraId="2DAA7179" w14:textId="388D4912" w:rsidR="00CD125E" w:rsidRDefault="00CD125E" w:rsidP="00F314EF">
      <w:pPr>
        <w:pStyle w:val="ListParagraph"/>
        <w:numPr>
          <w:ilvl w:val="0"/>
          <w:numId w:val="30"/>
        </w:numPr>
        <w:rPr>
          <w:rFonts w:ascii="Lato Light" w:hAnsi="Lato Light"/>
        </w:rPr>
      </w:pPr>
      <w:r>
        <w:rPr>
          <w:rFonts w:ascii="Lato Light" w:hAnsi="Lato Light"/>
        </w:rPr>
        <w:t>The principal place of business of employers that employ more than 50% of the active participants covered by the plan, or</w:t>
      </w:r>
    </w:p>
    <w:p w14:paraId="0372E481" w14:textId="4F99649D" w:rsidR="00CD125E" w:rsidRPr="00F314EF" w:rsidRDefault="00CD125E" w:rsidP="00F314EF">
      <w:pPr>
        <w:pStyle w:val="ListParagraph"/>
        <w:numPr>
          <w:ilvl w:val="0"/>
          <w:numId w:val="30"/>
        </w:numPr>
        <w:rPr>
          <w:rFonts w:ascii="Lato Light" w:hAnsi="Lato Light"/>
        </w:rPr>
      </w:pPr>
      <w:r w:rsidRPr="00CD125E">
        <w:rPr>
          <w:rFonts w:ascii="Lato Light" w:hAnsi="Lato Light"/>
        </w:rPr>
        <w:t>The office of the plan, plan administrator, or primary recordkeeper serving the plan</w:t>
      </w:r>
      <w:r w:rsidR="00F314EF">
        <w:rPr>
          <w:rFonts w:ascii="Lato Light" w:hAnsi="Lato Light"/>
        </w:rPr>
        <w:t xml:space="preserve"> </w:t>
      </w:r>
      <w:r w:rsidRPr="00F314EF">
        <w:rPr>
          <w:rFonts w:ascii="Lato Light" w:hAnsi="Lato Light"/>
        </w:rPr>
        <w:t xml:space="preserve">was located in </w:t>
      </w:r>
      <w:r w:rsidR="00443D09" w:rsidRPr="00F314EF">
        <w:rPr>
          <w:rFonts w:ascii="Lato Light" w:hAnsi="Lato Light"/>
        </w:rPr>
        <w:t>an</w:t>
      </w:r>
      <w:r w:rsidRPr="00F314EF">
        <w:rPr>
          <w:rFonts w:ascii="Lato Light" w:hAnsi="Lato Light"/>
        </w:rPr>
        <w:t xml:space="preserve"> </w:t>
      </w:r>
      <w:r w:rsidR="00443D09" w:rsidRPr="00F314EF">
        <w:rPr>
          <w:rFonts w:ascii="Lato Light" w:hAnsi="Lato Light"/>
        </w:rPr>
        <w:t>Individual Assistance</w:t>
      </w:r>
      <w:r w:rsidRPr="00F314EF">
        <w:rPr>
          <w:rFonts w:ascii="Lato Light" w:hAnsi="Lato Light"/>
        </w:rPr>
        <w:t xml:space="preserve"> area above at the time of the hurricane or tropical storm.</w:t>
      </w:r>
    </w:p>
    <w:p w14:paraId="701EDECC" w14:textId="77777777" w:rsidR="00DC5691" w:rsidRPr="00CD125E" w:rsidRDefault="00DC5691" w:rsidP="00DC5691">
      <w:pPr>
        <w:rPr>
          <w:rFonts w:ascii="Lato Light" w:hAnsi="Lato Light"/>
          <w:b/>
          <w:bCs/>
          <w:i/>
          <w:iCs/>
        </w:rPr>
      </w:pPr>
      <w:r w:rsidRPr="00CD125E">
        <w:rPr>
          <w:rFonts w:ascii="Lato Light" w:hAnsi="Lato Light"/>
          <w:b/>
          <w:bCs/>
          <w:i/>
          <w:iCs/>
        </w:rPr>
        <w:t>Deadlines Subject to the Relief</w:t>
      </w:r>
    </w:p>
    <w:p w14:paraId="6B56237B" w14:textId="77777777" w:rsidR="00DC5691" w:rsidRDefault="00DC5691" w:rsidP="00DC5691">
      <w:pPr>
        <w:rPr>
          <w:rFonts w:ascii="Lato Light" w:hAnsi="Lato Light"/>
        </w:rPr>
      </w:pPr>
      <w:r>
        <w:rPr>
          <w:rFonts w:ascii="Lato Light" w:hAnsi="Lato Light"/>
        </w:rPr>
        <w:t>Impacted individuals cannot have dates within the Relief Period count toward the following deadlines:</w:t>
      </w:r>
    </w:p>
    <w:p w14:paraId="629C0AC3" w14:textId="43D2D248" w:rsidR="00DC5691" w:rsidRDefault="00DC5691" w:rsidP="00DC5691">
      <w:pPr>
        <w:pStyle w:val="ListParagraph"/>
        <w:numPr>
          <w:ilvl w:val="0"/>
          <w:numId w:val="26"/>
        </w:numPr>
        <w:rPr>
          <w:rFonts w:ascii="Lato Light" w:hAnsi="Lato Light"/>
        </w:rPr>
      </w:pPr>
      <w:r>
        <w:rPr>
          <w:rFonts w:ascii="Lato Light" w:hAnsi="Lato Light"/>
        </w:rPr>
        <w:t>30-day HIPAA special enrollment rights</w:t>
      </w:r>
      <w:r w:rsidR="00CD125E">
        <w:rPr>
          <w:rFonts w:ascii="Lato Light" w:hAnsi="Lato Light"/>
        </w:rPr>
        <w:t xml:space="preserve"> for birth, adoption, marriage, or loss of other coverage</w:t>
      </w:r>
      <w:r>
        <w:rPr>
          <w:rFonts w:ascii="Lato Light" w:hAnsi="Lato Light"/>
        </w:rPr>
        <w:t xml:space="preserve"> (60 days for Medicaid/CHIP events)</w:t>
      </w:r>
    </w:p>
    <w:p w14:paraId="1755B608" w14:textId="77777777" w:rsidR="00DC5691" w:rsidRPr="00DF50A2" w:rsidRDefault="00DC5691" w:rsidP="00DC5691">
      <w:pPr>
        <w:pStyle w:val="ListParagraph"/>
        <w:numPr>
          <w:ilvl w:val="1"/>
          <w:numId w:val="26"/>
        </w:numPr>
        <w:rPr>
          <w:rFonts w:ascii="Lato Light" w:hAnsi="Lato Light"/>
          <w:i/>
          <w:iCs/>
        </w:rPr>
      </w:pPr>
      <w:r>
        <w:rPr>
          <w:rFonts w:ascii="Lato Light" w:hAnsi="Lato Light"/>
          <w:i/>
          <w:iCs/>
        </w:rPr>
        <w:t>Tip</w:t>
      </w:r>
      <w:r w:rsidRPr="00DF50A2">
        <w:rPr>
          <w:rFonts w:ascii="Lato Light" w:hAnsi="Lato Light"/>
          <w:i/>
          <w:iCs/>
        </w:rPr>
        <w:t>: Only birth/adoption results in retroactive coverage.  If someone takes extra time to notify the plan of a marriage, loss of other coverage, or Medicaid/CHIP event, coverage will not begin retroactively.</w:t>
      </w:r>
    </w:p>
    <w:p w14:paraId="4E35068E" w14:textId="77777777" w:rsidR="00DC5691" w:rsidRDefault="00DC5691" w:rsidP="00DC5691">
      <w:pPr>
        <w:pStyle w:val="ListParagraph"/>
        <w:numPr>
          <w:ilvl w:val="0"/>
          <w:numId w:val="26"/>
        </w:numPr>
        <w:rPr>
          <w:rFonts w:ascii="Lato Light" w:hAnsi="Lato Light"/>
        </w:rPr>
      </w:pPr>
      <w:r>
        <w:rPr>
          <w:rFonts w:ascii="Lato Light" w:hAnsi="Lato Light"/>
        </w:rPr>
        <w:t>60-day COBRA election period</w:t>
      </w:r>
    </w:p>
    <w:p w14:paraId="63495185" w14:textId="77777777" w:rsidR="00DC5691" w:rsidRDefault="00DC5691" w:rsidP="00DC5691">
      <w:pPr>
        <w:pStyle w:val="ListParagraph"/>
        <w:numPr>
          <w:ilvl w:val="0"/>
          <w:numId w:val="26"/>
        </w:numPr>
        <w:rPr>
          <w:rFonts w:ascii="Lato Light" w:hAnsi="Lato Light"/>
        </w:rPr>
      </w:pPr>
      <w:r>
        <w:rPr>
          <w:rFonts w:ascii="Lato Light" w:hAnsi="Lato Light"/>
        </w:rPr>
        <w:t>The date a COBRA premium is due, including the initial 45-day payment deadline and monthly payment deadlines with grace periods</w:t>
      </w:r>
    </w:p>
    <w:p w14:paraId="0EC956A7" w14:textId="5CB610FE" w:rsidR="00DC5691" w:rsidRPr="00DF50A2" w:rsidRDefault="00DC5691" w:rsidP="00DC5691">
      <w:pPr>
        <w:pStyle w:val="ListParagraph"/>
        <w:numPr>
          <w:ilvl w:val="1"/>
          <w:numId w:val="26"/>
        </w:numPr>
        <w:rPr>
          <w:rFonts w:ascii="Lato Light" w:hAnsi="Lato Light"/>
          <w:i/>
          <w:iCs/>
        </w:rPr>
      </w:pPr>
      <w:r>
        <w:rPr>
          <w:rFonts w:ascii="Lato Light" w:hAnsi="Lato Light"/>
          <w:i/>
          <w:iCs/>
        </w:rPr>
        <w:t>Tip</w:t>
      </w:r>
      <w:r w:rsidRPr="00DF50A2">
        <w:rPr>
          <w:rFonts w:ascii="Lato Light" w:hAnsi="Lato Light"/>
          <w:i/>
          <w:iCs/>
        </w:rPr>
        <w:t>: When a qualified beneficiary takes extra time to elect or pay for coverage, the plan “may initially deny claims and then, after premiums are paid, must make retroactive payment” for those claims</w:t>
      </w:r>
      <w:r w:rsidR="00F314EF">
        <w:rPr>
          <w:rFonts w:ascii="Lato Light" w:hAnsi="Lato Light"/>
          <w:i/>
          <w:iCs/>
        </w:rPr>
        <w:t>.</w:t>
      </w:r>
    </w:p>
    <w:p w14:paraId="5D0DF765" w14:textId="77777777" w:rsidR="00DC5691" w:rsidRPr="00C1366C" w:rsidRDefault="00DC5691" w:rsidP="00DC5691">
      <w:pPr>
        <w:pStyle w:val="ListParagraph"/>
        <w:numPr>
          <w:ilvl w:val="0"/>
          <w:numId w:val="26"/>
        </w:numPr>
        <w:rPr>
          <w:rFonts w:ascii="Lato Light" w:hAnsi="Lato Light"/>
        </w:rPr>
      </w:pPr>
      <w:r w:rsidRPr="00C1366C">
        <w:rPr>
          <w:rFonts w:ascii="Lato Light" w:hAnsi="Lato Light"/>
        </w:rPr>
        <w:lastRenderedPageBreak/>
        <w:t>The date for individuals to notify the plan of a</w:t>
      </w:r>
      <w:r>
        <w:rPr>
          <w:rFonts w:ascii="Lato Light" w:hAnsi="Lato Light"/>
        </w:rPr>
        <w:t xml:space="preserve"> COBRA</w:t>
      </w:r>
      <w:r w:rsidRPr="00C1366C">
        <w:rPr>
          <w:rFonts w:ascii="Lato Light" w:hAnsi="Lato Light"/>
        </w:rPr>
        <w:t xml:space="preserve"> qualifying event or determination of disability</w:t>
      </w:r>
    </w:p>
    <w:p w14:paraId="7BD8B667" w14:textId="4FB6DAC8" w:rsidR="00DC5691" w:rsidRDefault="00DC5691" w:rsidP="00DC5691">
      <w:pPr>
        <w:pStyle w:val="ListParagraph"/>
        <w:numPr>
          <w:ilvl w:val="0"/>
          <w:numId w:val="26"/>
        </w:numPr>
        <w:rPr>
          <w:rFonts w:ascii="Lato Light" w:hAnsi="Lato Light"/>
        </w:rPr>
      </w:pPr>
      <w:r>
        <w:rPr>
          <w:rFonts w:ascii="Lato Light" w:hAnsi="Lato Light"/>
        </w:rPr>
        <w:t>Timely filing of a claim, appeal, external review request or perfecting a request for external review</w:t>
      </w:r>
    </w:p>
    <w:p w14:paraId="43DA9005" w14:textId="77777777" w:rsidR="00DC5691" w:rsidRDefault="00DC5691" w:rsidP="00DC5691">
      <w:pPr>
        <w:rPr>
          <w:rFonts w:ascii="Lato Light" w:hAnsi="Lato Light"/>
        </w:rPr>
      </w:pPr>
      <w:r>
        <w:rPr>
          <w:rFonts w:ascii="Lato Light" w:hAnsi="Lato Light"/>
        </w:rPr>
        <w:t>For a brief example, if an employee in a Covered Disaster area married 10/15/24, they would typically have 30 days (until 11/14/24) to add their new spouse to health coverage.  However, all dates from the marriage through 5/1/25 cannot count toward their 30-day deadline.  Instead, the 30 days does not start until 5/2/25, giving the employee until 5/31/25 to add their new spouse to health coverage.</w:t>
      </w:r>
    </w:p>
    <w:p w14:paraId="32D3DA5F" w14:textId="264C0F03" w:rsidR="00DC5691" w:rsidRPr="00180DA6" w:rsidRDefault="00DC5691" w:rsidP="00DC5691">
      <w:pPr>
        <w:rPr>
          <w:rFonts w:ascii="Lato Light" w:hAnsi="Lato Light"/>
        </w:rPr>
      </w:pPr>
      <w:r>
        <w:rPr>
          <w:rFonts w:ascii="Lato Light" w:hAnsi="Lato Light"/>
        </w:rPr>
        <w:t xml:space="preserve">In addition, </w:t>
      </w:r>
      <w:r w:rsidR="00CD125E">
        <w:rPr>
          <w:rFonts w:ascii="Lato Light" w:hAnsi="Lato Light"/>
        </w:rPr>
        <w:t>ERISA</w:t>
      </w:r>
      <w:r>
        <w:rPr>
          <w:rFonts w:ascii="Lato Light" w:hAnsi="Lato Light"/>
        </w:rPr>
        <w:t xml:space="preserve"> disability plans cannot have dates within the Relief Period count for impacted individuals with respect to timely filing of a claim or appeal.</w:t>
      </w:r>
    </w:p>
    <w:p w14:paraId="046D3E17" w14:textId="77777777" w:rsidR="00DC5691" w:rsidRPr="00CD125E" w:rsidRDefault="00DC5691" w:rsidP="00DC5691">
      <w:pPr>
        <w:rPr>
          <w:rFonts w:ascii="Lato Light" w:hAnsi="Lato Light"/>
          <w:b/>
          <w:bCs/>
          <w:i/>
          <w:iCs/>
        </w:rPr>
      </w:pPr>
      <w:r w:rsidRPr="00CD125E">
        <w:rPr>
          <w:rFonts w:ascii="Lato Light" w:hAnsi="Lato Light"/>
          <w:b/>
          <w:bCs/>
          <w:i/>
          <w:iCs/>
        </w:rPr>
        <w:t>Employers Receive Similar Deadline Relief</w:t>
      </w:r>
    </w:p>
    <w:p w14:paraId="6DF3A815" w14:textId="3262EB4B" w:rsidR="00DC5691" w:rsidRDefault="00DC5691" w:rsidP="00DC5691">
      <w:pPr>
        <w:rPr>
          <w:rFonts w:ascii="Lato Light" w:hAnsi="Lato Light"/>
        </w:rPr>
      </w:pPr>
      <w:r>
        <w:rPr>
          <w:rFonts w:ascii="Lato Light" w:hAnsi="Lato Light"/>
        </w:rPr>
        <w:t xml:space="preserve">The notice also provides impacted employers with similar relief with respect to issuing COBRA notices, as long as they act in good faith to provide the notice as soon as practicable.  This may include using electronic means that are reasonably assured the individual will receive or making other reasonable accommodations.  The relief applies if the principal place of business, or the </w:t>
      </w:r>
      <w:r w:rsidRPr="00DF50A2">
        <w:rPr>
          <w:rFonts w:ascii="Lato Light" w:hAnsi="Lato Light"/>
        </w:rPr>
        <w:t>principal place of business of employers that employ more than 50</w:t>
      </w:r>
      <w:r>
        <w:rPr>
          <w:rFonts w:ascii="Lato Light" w:hAnsi="Lato Light"/>
        </w:rPr>
        <w:t>%</w:t>
      </w:r>
      <w:r w:rsidRPr="00DF50A2">
        <w:rPr>
          <w:rFonts w:ascii="Lato Light" w:hAnsi="Lato Light"/>
        </w:rPr>
        <w:t xml:space="preserve"> of the active participants covered by the plan</w:t>
      </w:r>
      <w:r>
        <w:rPr>
          <w:rFonts w:ascii="Lato Light" w:hAnsi="Lato Light"/>
        </w:rPr>
        <w:t>, or the office of the plan</w:t>
      </w:r>
      <w:r w:rsidR="00CD125E">
        <w:rPr>
          <w:rFonts w:ascii="Lato Light" w:hAnsi="Lato Light"/>
        </w:rPr>
        <w:t>, plan</w:t>
      </w:r>
      <w:r>
        <w:rPr>
          <w:rFonts w:ascii="Lato Light" w:hAnsi="Lato Light"/>
        </w:rPr>
        <w:t xml:space="preserve"> administrator</w:t>
      </w:r>
      <w:r w:rsidR="00CD125E">
        <w:rPr>
          <w:rFonts w:ascii="Lato Light" w:hAnsi="Lato Light"/>
        </w:rPr>
        <w:t>,</w:t>
      </w:r>
      <w:r>
        <w:rPr>
          <w:rFonts w:ascii="Lato Light" w:hAnsi="Lato Light"/>
        </w:rPr>
        <w:t xml:space="preserve"> or primary recordkeeper</w:t>
      </w:r>
      <w:r w:rsidR="0024046B">
        <w:rPr>
          <w:rFonts w:ascii="Lato Light" w:hAnsi="Lato Light"/>
        </w:rPr>
        <w:t>,</w:t>
      </w:r>
      <w:r>
        <w:rPr>
          <w:rFonts w:ascii="Lato Light" w:hAnsi="Lato Light"/>
        </w:rPr>
        <w:t xml:space="preserve"> is in the Covered Disaster areas listed above.</w:t>
      </w:r>
    </w:p>
    <w:p w14:paraId="37842285" w14:textId="6E91C6C5" w:rsidR="00DC5691" w:rsidRDefault="00DC5691" w:rsidP="00DC5691">
      <w:pPr>
        <w:rPr>
          <w:rFonts w:ascii="Lato Light" w:hAnsi="Lato Light"/>
        </w:rPr>
      </w:pPr>
      <w:r>
        <w:rPr>
          <w:rFonts w:ascii="Lato Light" w:hAnsi="Lato Light"/>
        </w:rPr>
        <w:t xml:space="preserve">Likewise, impacted employers have relief for 5500 deadlines falling within the Relief Period, and impacted multiple employer welfare arrangements (MEWAs) have relief for the federal Form M-1 typically due by 3/1/25.  All such deadlines are extended to </w:t>
      </w:r>
      <w:r w:rsidR="00F314EF">
        <w:rPr>
          <w:rFonts w:ascii="Lato Light" w:hAnsi="Lato Light"/>
        </w:rPr>
        <w:t>5/1/</w:t>
      </w:r>
      <w:r>
        <w:rPr>
          <w:rFonts w:ascii="Lato Light" w:hAnsi="Lato Light"/>
        </w:rPr>
        <w:t xml:space="preserve">2025, in alignment with the </w:t>
      </w:r>
      <w:hyperlink r:id="rId20" w:history="1">
        <w:r w:rsidRPr="009A44FA">
          <w:rPr>
            <w:rStyle w:val="Hyperlink"/>
            <w:rFonts w:ascii="Lato Light" w:hAnsi="Lato Light"/>
          </w:rPr>
          <w:t>IRS’s announcemen</w:t>
        </w:r>
        <w:r>
          <w:rPr>
            <w:rStyle w:val="Hyperlink"/>
            <w:rFonts w:ascii="Lato Light" w:hAnsi="Lato Light"/>
          </w:rPr>
          <w:t>t</w:t>
        </w:r>
        <w:r w:rsidRPr="00C72927">
          <w:rPr>
            <w:rStyle w:val="Hyperlink"/>
            <w:rFonts w:ascii="Lato Light" w:hAnsi="Lato Light"/>
          </w:rPr>
          <w:t>s</w:t>
        </w:r>
      </w:hyperlink>
      <w:r>
        <w:rPr>
          <w:rFonts w:ascii="Lato Light" w:hAnsi="Lato Light"/>
        </w:rPr>
        <w:t xml:space="preserve"> from October which extended various employer deadlines to </w:t>
      </w:r>
      <w:r w:rsidR="00F314EF">
        <w:rPr>
          <w:rFonts w:ascii="Lato Light" w:hAnsi="Lato Light"/>
        </w:rPr>
        <w:t>5/1/2025</w:t>
      </w:r>
      <w:r>
        <w:rPr>
          <w:rFonts w:ascii="Lato Light" w:hAnsi="Lato Light"/>
        </w:rPr>
        <w:t>.</w:t>
      </w:r>
    </w:p>
    <w:p w14:paraId="632D0994" w14:textId="77777777" w:rsidR="00DC5691" w:rsidRPr="009A44FA" w:rsidRDefault="00DC5691" w:rsidP="00DC5691">
      <w:pPr>
        <w:rPr>
          <w:rFonts w:ascii="Lato Light" w:hAnsi="Lato Light"/>
          <w:b/>
          <w:bCs/>
        </w:rPr>
      </w:pPr>
      <w:r w:rsidRPr="009A44FA">
        <w:rPr>
          <w:rFonts w:ascii="Lato Light" w:hAnsi="Lato Light"/>
          <w:b/>
          <w:bCs/>
        </w:rPr>
        <w:t>Next Steps for Employers</w:t>
      </w:r>
    </w:p>
    <w:p w14:paraId="51D5549F" w14:textId="01FE49AB" w:rsidR="00DC5691" w:rsidRDefault="00DC5691" w:rsidP="00DC5691">
      <w:pPr>
        <w:rPr>
          <w:rFonts w:ascii="Lato Light" w:hAnsi="Lato Light"/>
        </w:rPr>
      </w:pPr>
      <w:r>
        <w:rPr>
          <w:rFonts w:ascii="Lato Light" w:hAnsi="Lato Light"/>
        </w:rPr>
        <w:t xml:space="preserve">Employers will want to work with their COBRA vendors immediately to ensure COBRA deadlines can be pended for impacted individuals during the legally protected Relief Period.  </w:t>
      </w:r>
      <w:r w:rsidR="000D1D70">
        <w:rPr>
          <w:rFonts w:ascii="Lato Light" w:hAnsi="Lato Light"/>
        </w:rPr>
        <w:t>A</w:t>
      </w:r>
      <w:r>
        <w:rPr>
          <w:rFonts w:ascii="Lato Light" w:hAnsi="Lato Light"/>
        </w:rPr>
        <w:t xml:space="preserve">llowable exceptions must occur for </w:t>
      </w:r>
      <w:r w:rsidR="000D1D70">
        <w:rPr>
          <w:rFonts w:ascii="Lato Light" w:hAnsi="Lato Light"/>
        </w:rPr>
        <w:t>impacted individuals</w:t>
      </w:r>
      <w:r>
        <w:rPr>
          <w:rFonts w:ascii="Lato Light" w:hAnsi="Lato Light"/>
        </w:rPr>
        <w:t xml:space="preserve"> who elect late or pay late to have COBRA (or have it reinstated).</w:t>
      </w:r>
    </w:p>
    <w:p w14:paraId="001C3A26" w14:textId="77777777" w:rsidR="00DC5691" w:rsidRDefault="00DC5691" w:rsidP="00DC5691">
      <w:pPr>
        <w:rPr>
          <w:rFonts w:ascii="Lato Light" w:hAnsi="Lato Light"/>
        </w:rPr>
      </w:pPr>
      <w:r>
        <w:rPr>
          <w:rFonts w:ascii="Lato Light" w:hAnsi="Lato Light"/>
        </w:rPr>
        <w:t>Likewise, insurance companies and third-party administrators (TPAs) should “deny and pend” incoming COBRA claims for affected individuals and automatically reprocess them at the time a COBRA payment is provided for a date of service the payment covers.  This process will be much harder for pharmacy benefit managers (PBMs) to accommodate, so they might just identify a process to reach out to someone who had attempted to fill a prescription while COBRA was “pended” to see if they would like the PBM to request a copy of what the member paid from the pharmacy to reimburse them what the plan would have paid.</w:t>
      </w:r>
    </w:p>
    <w:p w14:paraId="3C785712" w14:textId="1F8452A3" w:rsidR="00474B78" w:rsidRDefault="00DC5691" w:rsidP="00DC5691">
      <w:pPr>
        <w:spacing w:after="0" w:line="240" w:lineRule="auto"/>
        <w:rPr>
          <w:rFonts w:ascii="Lato Light" w:hAnsi="Lato Light"/>
        </w:rPr>
      </w:pPr>
      <w:r>
        <w:rPr>
          <w:rFonts w:ascii="Lato Light" w:hAnsi="Lato Light"/>
        </w:rPr>
        <w:t xml:space="preserve">Employers will also want to communicate with impacted individuals that they have extra time for the deadlines described above.  </w:t>
      </w:r>
      <w:r w:rsidR="0024046B">
        <w:rPr>
          <w:rFonts w:ascii="Lato Light" w:hAnsi="Lato Light"/>
        </w:rPr>
        <w:t>W</w:t>
      </w:r>
      <w:r>
        <w:rPr>
          <w:rFonts w:ascii="Lato Light" w:hAnsi="Lato Light"/>
        </w:rPr>
        <w:t>e have a sample employee communication available</w:t>
      </w:r>
      <w:r w:rsidR="0024046B">
        <w:rPr>
          <w:rFonts w:ascii="Lato Light" w:hAnsi="Lato Light"/>
        </w:rPr>
        <w:t xml:space="preserve">, and the DOL has provided </w:t>
      </w:r>
      <w:hyperlink r:id="rId21" w:history="1">
        <w:r w:rsidR="0024046B" w:rsidRPr="0024046B">
          <w:rPr>
            <w:rStyle w:val="Hyperlink"/>
            <w:rFonts w:ascii="Lato Light" w:hAnsi="Lato Light"/>
          </w:rPr>
          <w:t>FAQs</w:t>
        </w:r>
      </w:hyperlink>
      <w:r w:rsidR="0024046B">
        <w:rPr>
          <w:rFonts w:ascii="Lato Light" w:hAnsi="Lato Light"/>
        </w:rPr>
        <w:t xml:space="preserve"> employers may like to provide to impacted employees.</w:t>
      </w:r>
    </w:p>
    <w:p w14:paraId="4712CC73" w14:textId="77777777" w:rsidR="00474B78" w:rsidRPr="00AB7AF8" w:rsidRDefault="00474B78" w:rsidP="00DE05EE">
      <w:pPr>
        <w:spacing w:after="0" w:line="240" w:lineRule="auto"/>
        <w:rPr>
          <w:rFonts w:ascii="Lato Light" w:hAnsi="Lato Light"/>
        </w:rPr>
      </w:pPr>
    </w:p>
    <w:p w14:paraId="10CD95B4" w14:textId="77777777" w:rsidR="00CD125E" w:rsidRDefault="00CD125E" w:rsidP="004C2534">
      <w:pPr>
        <w:spacing w:after="0" w:line="240" w:lineRule="auto"/>
        <w:rPr>
          <w:rFonts w:ascii="Lato Light" w:eastAsia="Times New Roman" w:hAnsi="Lato Light" w:cs="Calibri"/>
          <w:b/>
          <w:bCs/>
          <w:color w:val="000000"/>
        </w:rPr>
      </w:pPr>
    </w:p>
    <w:p w14:paraId="20D71F61" w14:textId="5B381013" w:rsidR="00E55B15" w:rsidRPr="00AB7AF8" w:rsidRDefault="00E55B15" w:rsidP="004C2534">
      <w:pPr>
        <w:spacing w:after="0" w:line="240" w:lineRule="auto"/>
        <w:rPr>
          <w:rFonts w:ascii="Lato Light" w:hAnsi="Lato Light"/>
        </w:rPr>
      </w:pPr>
      <w:r w:rsidRPr="00AB7AF8">
        <w:rPr>
          <w:rFonts w:ascii="Lato Light" w:eastAsia="Times New Roman" w:hAnsi="Lato Light" w:cs="Calibri"/>
          <w:b/>
          <w:bCs/>
          <w:color w:val="000000"/>
        </w:rPr>
        <w:lastRenderedPageBreak/>
        <w:t>FAQ:</w:t>
      </w:r>
    </w:p>
    <w:p w14:paraId="2385A583" w14:textId="592B62B0" w:rsidR="00E55B15" w:rsidRPr="00AB7AF8" w:rsidRDefault="00E55B15" w:rsidP="004C2534">
      <w:pPr>
        <w:spacing w:after="0" w:line="240" w:lineRule="auto"/>
        <w:rPr>
          <w:rFonts w:ascii="Lato Light" w:eastAsia="Times New Roman" w:hAnsi="Lato Light" w:cs="Calibri"/>
          <w:color w:val="000000"/>
        </w:rPr>
      </w:pPr>
    </w:p>
    <w:p w14:paraId="53006469" w14:textId="70A71C72" w:rsidR="00620284" w:rsidRDefault="00A25EAC" w:rsidP="00620284">
      <w:pPr>
        <w:spacing w:after="0" w:line="240" w:lineRule="auto"/>
        <w:rPr>
          <w:rFonts w:ascii="Lato Light" w:eastAsia="Times New Roman" w:hAnsi="Lato Light" w:cs="Calibri"/>
          <w:b/>
          <w:bCs/>
          <w:color w:val="000000"/>
        </w:rPr>
      </w:pPr>
      <w:r>
        <w:rPr>
          <w:rFonts w:ascii="Lato Light" w:eastAsia="Times New Roman" w:hAnsi="Lato Light" w:cs="Calibri"/>
          <w:b/>
          <w:bCs/>
          <w:color w:val="000000"/>
        </w:rPr>
        <w:t xml:space="preserve">What is the status of telemedicine </w:t>
      </w:r>
      <w:r w:rsidR="00D80A73">
        <w:rPr>
          <w:rFonts w:ascii="Lato Light" w:eastAsia="Times New Roman" w:hAnsi="Lato Light" w:cs="Calibri"/>
          <w:b/>
          <w:bCs/>
          <w:color w:val="000000"/>
        </w:rPr>
        <w:t xml:space="preserve">benefits in </w:t>
      </w:r>
      <w:r>
        <w:rPr>
          <w:rFonts w:ascii="Lato Light" w:eastAsia="Times New Roman" w:hAnsi="Lato Light" w:cs="Calibri"/>
          <w:b/>
          <w:bCs/>
          <w:color w:val="000000"/>
        </w:rPr>
        <w:t>2025</w:t>
      </w:r>
      <w:r w:rsidR="001A7FED" w:rsidRPr="001A7FED">
        <w:rPr>
          <w:rFonts w:ascii="Lato Light" w:eastAsia="Times New Roman" w:hAnsi="Lato Light" w:cs="Calibri"/>
          <w:b/>
          <w:bCs/>
          <w:color w:val="000000"/>
        </w:rPr>
        <w:t>?</w:t>
      </w:r>
    </w:p>
    <w:p w14:paraId="05994E01" w14:textId="77777777" w:rsidR="00D80A73" w:rsidRPr="001A7FED" w:rsidRDefault="00D80A73" w:rsidP="00620284">
      <w:pPr>
        <w:spacing w:after="0" w:line="240" w:lineRule="auto"/>
        <w:rPr>
          <w:rFonts w:ascii="Lato Light" w:eastAsia="Times New Roman" w:hAnsi="Lato Light" w:cs="Calibri"/>
          <w:b/>
          <w:bCs/>
          <w:color w:val="000000"/>
        </w:rPr>
      </w:pPr>
    </w:p>
    <w:p w14:paraId="1C24D23C" w14:textId="55FB3F25" w:rsidR="00D80A73" w:rsidRDefault="00A25EAC" w:rsidP="00620284">
      <w:pPr>
        <w:spacing w:after="0" w:line="240" w:lineRule="auto"/>
        <w:rPr>
          <w:rFonts w:ascii="Lato Light" w:eastAsia="Times New Roman" w:hAnsi="Lato Light" w:cs="Calibri"/>
          <w:bCs/>
          <w:color w:val="000000"/>
        </w:rPr>
      </w:pPr>
      <w:r>
        <w:rPr>
          <w:rFonts w:ascii="Lato Light" w:eastAsia="Times New Roman" w:hAnsi="Lato Light" w:cs="Calibri"/>
          <w:bCs/>
          <w:color w:val="000000"/>
        </w:rPr>
        <w:t>There is bipartisan support to keep extending flexibility for telemedicine</w:t>
      </w:r>
      <w:r w:rsidR="00D80A73">
        <w:rPr>
          <w:rFonts w:ascii="Lato Light" w:eastAsia="Times New Roman" w:hAnsi="Lato Light" w:cs="Calibri"/>
          <w:bCs/>
          <w:color w:val="000000"/>
        </w:rPr>
        <w:t xml:space="preserve"> </w:t>
      </w:r>
      <w:r>
        <w:rPr>
          <w:rFonts w:ascii="Lato Light" w:eastAsia="Times New Roman" w:hAnsi="Lato Light" w:cs="Calibri"/>
          <w:bCs/>
          <w:color w:val="000000"/>
        </w:rPr>
        <w:t xml:space="preserve">and to even make flexibility permanent.  </w:t>
      </w:r>
    </w:p>
    <w:p w14:paraId="22BE00BF" w14:textId="77777777" w:rsidR="00D80A73" w:rsidRDefault="00D80A73" w:rsidP="00620284">
      <w:pPr>
        <w:spacing w:after="0" w:line="240" w:lineRule="auto"/>
        <w:rPr>
          <w:rFonts w:ascii="Lato Light" w:eastAsia="Times New Roman" w:hAnsi="Lato Light" w:cs="Calibri"/>
          <w:bCs/>
          <w:color w:val="000000"/>
        </w:rPr>
      </w:pPr>
    </w:p>
    <w:p w14:paraId="6AA38F5C" w14:textId="643FECB3" w:rsidR="001A7FED" w:rsidRDefault="00A25EAC" w:rsidP="00620284">
      <w:pPr>
        <w:spacing w:after="0" w:line="240" w:lineRule="auto"/>
        <w:rPr>
          <w:rFonts w:ascii="Lato Light" w:eastAsia="Times New Roman" w:hAnsi="Lato Light" w:cs="Calibri"/>
          <w:bCs/>
          <w:color w:val="000000"/>
        </w:rPr>
      </w:pPr>
      <w:r>
        <w:rPr>
          <w:rFonts w:ascii="Lato Light" w:eastAsia="Times New Roman" w:hAnsi="Lato Light" w:cs="Calibri"/>
          <w:bCs/>
          <w:color w:val="000000"/>
        </w:rPr>
        <w:t xml:space="preserve">While Congress explores </w:t>
      </w:r>
      <w:r w:rsidR="00D80A73">
        <w:rPr>
          <w:rFonts w:ascii="Lato Light" w:eastAsia="Times New Roman" w:hAnsi="Lato Light" w:cs="Calibri"/>
          <w:bCs/>
          <w:color w:val="000000"/>
        </w:rPr>
        <w:t>possible flexibility</w:t>
      </w:r>
      <w:r>
        <w:rPr>
          <w:rFonts w:ascii="Lato Light" w:eastAsia="Times New Roman" w:hAnsi="Lato Light" w:cs="Calibri"/>
          <w:bCs/>
          <w:color w:val="000000"/>
        </w:rPr>
        <w:t xml:space="preserve">, here is </w:t>
      </w:r>
      <w:r w:rsidR="00D80A73">
        <w:rPr>
          <w:rFonts w:ascii="Lato Light" w:eastAsia="Times New Roman" w:hAnsi="Lato Light" w:cs="Calibri"/>
          <w:bCs/>
          <w:color w:val="000000"/>
        </w:rPr>
        <w:t>the status of telemedicine</w:t>
      </w:r>
      <w:r>
        <w:rPr>
          <w:rFonts w:ascii="Lato Light" w:eastAsia="Times New Roman" w:hAnsi="Lato Light" w:cs="Calibri"/>
          <w:bCs/>
          <w:color w:val="000000"/>
        </w:rPr>
        <w:t xml:space="preserve"> with respect to employee benefits:</w:t>
      </w:r>
    </w:p>
    <w:p w14:paraId="5428DFC4" w14:textId="77777777" w:rsidR="00D80A73" w:rsidRDefault="00D80A73" w:rsidP="00620284">
      <w:pPr>
        <w:spacing w:after="0" w:line="240" w:lineRule="auto"/>
        <w:rPr>
          <w:rFonts w:ascii="Lato Light" w:eastAsia="Times New Roman" w:hAnsi="Lato Light" w:cs="Calibri"/>
          <w:bCs/>
          <w:color w:val="000000"/>
        </w:rPr>
      </w:pPr>
    </w:p>
    <w:p w14:paraId="1953F587" w14:textId="145AD433" w:rsidR="00A25EAC" w:rsidRDefault="00F314EF" w:rsidP="00A25EAC">
      <w:pPr>
        <w:pStyle w:val="ListParagraph"/>
        <w:numPr>
          <w:ilvl w:val="0"/>
          <w:numId w:val="27"/>
        </w:numPr>
        <w:spacing w:after="0" w:line="240" w:lineRule="auto"/>
        <w:rPr>
          <w:rFonts w:ascii="Lato Light" w:eastAsia="Times New Roman" w:hAnsi="Lato Light" w:cs="Calibri"/>
          <w:bCs/>
          <w:color w:val="000000"/>
        </w:rPr>
      </w:pPr>
      <w:r>
        <w:rPr>
          <w:rFonts w:ascii="Lato Light" w:eastAsia="Times New Roman" w:hAnsi="Lato Light" w:cs="Calibri"/>
          <w:bCs/>
          <w:color w:val="000000"/>
        </w:rPr>
        <w:t>HSA Qualified High Deductible Health Plan</w:t>
      </w:r>
      <w:r w:rsidR="00A25EAC">
        <w:rPr>
          <w:rFonts w:ascii="Lato Light" w:eastAsia="Times New Roman" w:hAnsi="Lato Light" w:cs="Calibri"/>
          <w:bCs/>
          <w:color w:val="000000"/>
        </w:rPr>
        <w:t xml:space="preserve"> </w:t>
      </w:r>
      <w:r w:rsidR="00443D09">
        <w:rPr>
          <w:rFonts w:ascii="Lato Light" w:eastAsia="Times New Roman" w:hAnsi="Lato Light" w:cs="Calibri"/>
          <w:bCs/>
          <w:color w:val="000000"/>
        </w:rPr>
        <w:t xml:space="preserve">(QHDHP) plan years </w:t>
      </w:r>
      <w:r w:rsidR="00A25EAC">
        <w:rPr>
          <w:rFonts w:ascii="Lato Light" w:eastAsia="Times New Roman" w:hAnsi="Lato Light" w:cs="Calibri"/>
          <w:bCs/>
          <w:color w:val="000000"/>
        </w:rPr>
        <w:t xml:space="preserve">starting in 2025 must ensure </w:t>
      </w:r>
      <w:r>
        <w:rPr>
          <w:rFonts w:ascii="Lato Light" w:eastAsia="Times New Roman" w:hAnsi="Lato Light" w:cs="Calibri"/>
          <w:bCs/>
          <w:color w:val="000000"/>
        </w:rPr>
        <w:t xml:space="preserve">that </w:t>
      </w:r>
      <w:r w:rsidR="00A25EAC">
        <w:rPr>
          <w:rFonts w:ascii="Lato Light" w:eastAsia="Times New Roman" w:hAnsi="Lato Light" w:cs="Calibri"/>
          <w:bCs/>
          <w:color w:val="000000"/>
        </w:rPr>
        <w:t>non-preventive telehealth services charge the member a fair market value</w:t>
      </w:r>
      <w:r w:rsidR="00CD125E">
        <w:rPr>
          <w:rFonts w:ascii="Lato Light" w:eastAsia="Times New Roman" w:hAnsi="Lato Light" w:cs="Calibri"/>
          <w:bCs/>
          <w:color w:val="000000"/>
        </w:rPr>
        <w:t xml:space="preserve"> for those services</w:t>
      </w:r>
      <w:r w:rsidR="00A25EAC">
        <w:rPr>
          <w:rFonts w:ascii="Lato Light" w:eastAsia="Times New Roman" w:hAnsi="Lato Light" w:cs="Calibri"/>
          <w:bCs/>
          <w:color w:val="000000"/>
        </w:rPr>
        <w:t xml:space="preserve"> until the federal minimum deductible is met</w:t>
      </w:r>
      <w:r w:rsidR="00D80A73">
        <w:rPr>
          <w:rFonts w:ascii="Lato Light" w:eastAsia="Times New Roman" w:hAnsi="Lato Light" w:cs="Calibri"/>
          <w:bCs/>
          <w:color w:val="000000"/>
        </w:rPr>
        <w:t>.</w:t>
      </w:r>
    </w:p>
    <w:p w14:paraId="0E32F82C" w14:textId="15FC7532" w:rsidR="00443D09" w:rsidRDefault="00443D09" w:rsidP="00443D09">
      <w:pPr>
        <w:pStyle w:val="ListParagraph"/>
        <w:numPr>
          <w:ilvl w:val="1"/>
          <w:numId w:val="27"/>
        </w:numPr>
        <w:spacing w:after="0" w:line="240" w:lineRule="auto"/>
        <w:rPr>
          <w:rFonts w:ascii="Lato Light" w:eastAsia="Times New Roman" w:hAnsi="Lato Light" w:cs="Calibri"/>
          <w:bCs/>
          <w:color w:val="000000"/>
        </w:rPr>
      </w:pPr>
      <w:r>
        <w:rPr>
          <w:rFonts w:ascii="Lato Light" w:eastAsia="Times New Roman" w:hAnsi="Lato Light" w:cs="Calibri"/>
          <w:bCs/>
          <w:color w:val="000000"/>
        </w:rPr>
        <w:t>QHDHP plan years that started in 2024 were the last allowed to have low- or no-cost telehealth services</w:t>
      </w:r>
      <w:r w:rsidR="00D80A73">
        <w:rPr>
          <w:rFonts w:ascii="Lato Light" w:eastAsia="Times New Roman" w:hAnsi="Lato Light" w:cs="Calibri"/>
          <w:bCs/>
          <w:color w:val="000000"/>
        </w:rPr>
        <w:t>.</w:t>
      </w:r>
    </w:p>
    <w:p w14:paraId="799BDF03" w14:textId="77777777" w:rsidR="00D80A73" w:rsidRPr="00A25EAC" w:rsidRDefault="00D80A73" w:rsidP="00D80A73">
      <w:pPr>
        <w:pStyle w:val="ListParagraph"/>
        <w:spacing w:after="0" w:line="240" w:lineRule="auto"/>
        <w:ind w:left="1440"/>
        <w:rPr>
          <w:rFonts w:ascii="Lato Light" w:eastAsia="Times New Roman" w:hAnsi="Lato Light" w:cs="Calibri"/>
          <w:bCs/>
          <w:color w:val="000000"/>
        </w:rPr>
      </w:pPr>
    </w:p>
    <w:p w14:paraId="661A45ED" w14:textId="53016BEC" w:rsidR="00A25EAC" w:rsidRDefault="00A25EAC" w:rsidP="00A25EAC">
      <w:pPr>
        <w:pStyle w:val="ListParagraph"/>
        <w:numPr>
          <w:ilvl w:val="0"/>
          <w:numId w:val="27"/>
        </w:numPr>
        <w:spacing w:after="0" w:line="240" w:lineRule="auto"/>
        <w:rPr>
          <w:rFonts w:ascii="Lato Light" w:eastAsia="Times New Roman" w:hAnsi="Lato Light" w:cs="Calibri"/>
          <w:bCs/>
          <w:color w:val="000000"/>
        </w:rPr>
      </w:pPr>
      <w:r>
        <w:rPr>
          <w:rFonts w:ascii="Lato Light" w:eastAsia="Times New Roman" w:hAnsi="Lato Light" w:cs="Calibri"/>
          <w:bCs/>
          <w:color w:val="000000"/>
        </w:rPr>
        <w:t>Employer-sponsored telemedicine benefits are considered group health plans, making them subject to many compliance obligations, including but not limited to:</w:t>
      </w:r>
    </w:p>
    <w:p w14:paraId="5A8B5BCA" w14:textId="77777777" w:rsidR="00D80A73" w:rsidRDefault="00D80A73" w:rsidP="00D80A73">
      <w:pPr>
        <w:pStyle w:val="ListParagraph"/>
        <w:spacing w:after="0" w:line="240" w:lineRule="auto"/>
        <w:rPr>
          <w:rFonts w:ascii="Lato Light" w:eastAsia="Times New Roman" w:hAnsi="Lato Light" w:cs="Calibri"/>
          <w:bCs/>
          <w:color w:val="000000"/>
        </w:rPr>
      </w:pPr>
    </w:p>
    <w:p w14:paraId="3048FE72" w14:textId="4164D917" w:rsidR="00A25EAC" w:rsidRDefault="00CD125E" w:rsidP="00A25EAC">
      <w:pPr>
        <w:pStyle w:val="ListParagraph"/>
        <w:numPr>
          <w:ilvl w:val="1"/>
          <w:numId w:val="27"/>
        </w:numPr>
        <w:spacing w:after="0" w:line="240" w:lineRule="auto"/>
        <w:rPr>
          <w:rFonts w:ascii="Lato Light" w:eastAsia="Times New Roman" w:hAnsi="Lato Light" w:cs="Calibri"/>
          <w:bCs/>
          <w:color w:val="000000"/>
        </w:rPr>
      </w:pPr>
      <w:r>
        <w:rPr>
          <w:rFonts w:ascii="Lato Light" w:eastAsia="Times New Roman" w:hAnsi="Lato Light" w:cs="Calibri"/>
          <w:bCs/>
          <w:color w:val="000000"/>
        </w:rPr>
        <w:t>Must be</w:t>
      </w:r>
      <w:r w:rsidR="00A25EAC">
        <w:rPr>
          <w:rFonts w:ascii="Lato Light" w:eastAsia="Times New Roman" w:hAnsi="Lato Light" w:cs="Calibri"/>
          <w:bCs/>
          <w:color w:val="000000"/>
        </w:rPr>
        <w:t xml:space="preserve"> “integrated” with the employer’s major medical plan (i.e., the only individuals who should be allowed access to the telemedicine program are employees and family members enrolled in the employer’s major medical plan)</w:t>
      </w:r>
    </w:p>
    <w:p w14:paraId="00F661B1" w14:textId="5477048D" w:rsidR="00A25EAC" w:rsidRDefault="00CD125E" w:rsidP="00A25EAC">
      <w:pPr>
        <w:pStyle w:val="ListParagraph"/>
        <w:numPr>
          <w:ilvl w:val="1"/>
          <w:numId w:val="27"/>
        </w:numPr>
        <w:spacing w:after="0" w:line="240" w:lineRule="auto"/>
        <w:rPr>
          <w:rFonts w:ascii="Lato Light" w:eastAsia="Times New Roman" w:hAnsi="Lato Light" w:cs="Calibri"/>
          <w:bCs/>
          <w:color w:val="000000"/>
        </w:rPr>
      </w:pPr>
      <w:r>
        <w:rPr>
          <w:rFonts w:ascii="Lato Light" w:eastAsia="Times New Roman" w:hAnsi="Lato Light" w:cs="Calibri"/>
          <w:bCs/>
          <w:color w:val="000000"/>
        </w:rPr>
        <w:t>Must be</w:t>
      </w:r>
      <w:r w:rsidR="00A25EAC">
        <w:rPr>
          <w:rFonts w:ascii="Lato Light" w:eastAsia="Times New Roman" w:hAnsi="Lato Light" w:cs="Calibri"/>
          <w:bCs/>
          <w:color w:val="000000"/>
        </w:rPr>
        <w:t xml:space="preserve"> </w:t>
      </w:r>
      <w:r>
        <w:rPr>
          <w:rFonts w:ascii="Lato Light" w:eastAsia="Times New Roman" w:hAnsi="Lato Light" w:cs="Calibri"/>
          <w:bCs/>
          <w:color w:val="000000"/>
        </w:rPr>
        <w:t>includ</w:t>
      </w:r>
      <w:r w:rsidR="00A25EAC">
        <w:rPr>
          <w:rFonts w:ascii="Lato Light" w:eastAsia="Times New Roman" w:hAnsi="Lato Light" w:cs="Calibri"/>
          <w:bCs/>
          <w:color w:val="000000"/>
        </w:rPr>
        <w:t xml:space="preserve">ed on the </w:t>
      </w:r>
      <w:r w:rsidR="00797659">
        <w:rPr>
          <w:rFonts w:ascii="Lato Light" w:eastAsia="Times New Roman" w:hAnsi="Lato Light" w:cs="Calibri"/>
          <w:bCs/>
          <w:color w:val="000000"/>
        </w:rPr>
        <w:t>S</w:t>
      </w:r>
      <w:r w:rsidR="00D80A73">
        <w:rPr>
          <w:rFonts w:ascii="Lato Light" w:eastAsia="Times New Roman" w:hAnsi="Lato Light" w:cs="Calibri"/>
          <w:bCs/>
          <w:color w:val="000000"/>
        </w:rPr>
        <w:t xml:space="preserve">ummary of </w:t>
      </w:r>
      <w:r w:rsidR="00797659">
        <w:rPr>
          <w:rFonts w:ascii="Lato Light" w:eastAsia="Times New Roman" w:hAnsi="Lato Light" w:cs="Calibri"/>
          <w:bCs/>
          <w:color w:val="000000"/>
        </w:rPr>
        <w:t>B</w:t>
      </w:r>
      <w:r w:rsidR="00D80A73">
        <w:rPr>
          <w:rFonts w:ascii="Lato Light" w:eastAsia="Times New Roman" w:hAnsi="Lato Light" w:cs="Calibri"/>
          <w:bCs/>
          <w:color w:val="000000"/>
        </w:rPr>
        <w:t xml:space="preserve">enefits and </w:t>
      </w:r>
      <w:r w:rsidR="00797659">
        <w:rPr>
          <w:rFonts w:ascii="Lato Light" w:eastAsia="Times New Roman" w:hAnsi="Lato Light" w:cs="Calibri"/>
          <w:bCs/>
          <w:color w:val="000000"/>
        </w:rPr>
        <w:t>C</w:t>
      </w:r>
      <w:r w:rsidR="00D80A73">
        <w:rPr>
          <w:rFonts w:ascii="Lato Light" w:eastAsia="Times New Roman" w:hAnsi="Lato Light" w:cs="Calibri"/>
          <w:bCs/>
          <w:color w:val="000000"/>
        </w:rPr>
        <w:t>overage (</w:t>
      </w:r>
      <w:r w:rsidR="00A25EAC">
        <w:rPr>
          <w:rFonts w:ascii="Lato Light" w:eastAsia="Times New Roman" w:hAnsi="Lato Light" w:cs="Calibri"/>
          <w:bCs/>
          <w:color w:val="000000"/>
        </w:rPr>
        <w:t>SBC</w:t>
      </w:r>
      <w:r w:rsidR="00D80A73">
        <w:rPr>
          <w:rFonts w:ascii="Lato Light" w:eastAsia="Times New Roman" w:hAnsi="Lato Light" w:cs="Calibri"/>
          <w:bCs/>
          <w:color w:val="000000"/>
        </w:rPr>
        <w:t>)</w:t>
      </w:r>
      <w:r w:rsidR="00A25EAC">
        <w:rPr>
          <w:rFonts w:ascii="Lato Light" w:eastAsia="Times New Roman" w:hAnsi="Lato Light" w:cs="Calibri"/>
          <w:bCs/>
          <w:color w:val="000000"/>
        </w:rPr>
        <w:t xml:space="preserve"> or hav</w:t>
      </w:r>
      <w:r>
        <w:rPr>
          <w:rFonts w:ascii="Lato Light" w:eastAsia="Times New Roman" w:hAnsi="Lato Light" w:cs="Calibri"/>
          <w:bCs/>
          <w:color w:val="000000"/>
        </w:rPr>
        <w:t>e</w:t>
      </w:r>
      <w:r w:rsidR="00A25EAC">
        <w:rPr>
          <w:rFonts w:ascii="Lato Light" w:eastAsia="Times New Roman" w:hAnsi="Lato Light" w:cs="Calibri"/>
          <w:bCs/>
          <w:color w:val="000000"/>
        </w:rPr>
        <w:t xml:space="preserve"> its own SBC</w:t>
      </w:r>
      <w:r w:rsidR="00D80A73">
        <w:rPr>
          <w:rFonts w:ascii="Lato Light" w:eastAsia="Times New Roman" w:hAnsi="Lato Light" w:cs="Calibri"/>
          <w:bCs/>
          <w:color w:val="000000"/>
        </w:rPr>
        <w:t>.</w:t>
      </w:r>
    </w:p>
    <w:p w14:paraId="0B82C6D5" w14:textId="51A52ED1" w:rsidR="00A25EAC" w:rsidRDefault="00CD125E" w:rsidP="00A25EAC">
      <w:pPr>
        <w:pStyle w:val="ListParagraph"/>
        <w:numPr>
          <w:ilvl w:val="1"/>
          <w:numId w:val="27"/>
        </w:numPr>
        <w:spacing w:after="0" w:line="240" w:lineRule="auto"/>
        <w:rPr>
          <w:rFonts w:ascii="Lato Light" w:eastAsia="Times New Roman" w:hAnsi="Lato Light" w:cs="Calibri"/>
          <w:bCs/>
          <w:color w:val="000000"/>
        </w:rPr>
      </w:pPr>
      <w:r>
        <w:rPr>
          <w:rFonts w:ascii="Lato Light" w:eastAsia="Times New Roman" w:hAnsi="Lato Light" w:cs="Calibri"/>
          <w:bCs/>
          <w:color w:val="000000"/>
        </w:rPr>
        <w:t>Must have</w:t>
      </w:r>
      <w:r w:rsidR="00A25EAC">
        <w:rPr>
          <w:rFonts w:ascii="Lato Light" w:eastAsia="Times New Roman" w:hAnsi="Lato Light" w:cs="Calibri"/>
          <w:bCs/>
          <w:color w:val="000000"/>
        </w:rPr>
        <w:t xml:space="preserve"> a plan document/SPD</w:t>
      </w:r>
      <w:r w:rsidR="00D80A73">
        <w:rPr>
          <w:rFonts w:ascii="Lato Light" w:eastAsia="Times New Roman" w:hAnsi="Lato Light" w:cs="Calibri"/>
          <w:bCs/>
          <w:color w:val="000000"/>
        </w:rPr>
        <w:t>.</w:t>
      </w:r>
    </w:p>
    <w:p w14:paraId="3E70561D" w14:textId="6B0AADAC" w:rsidR="00A25EAC" w:rsidRDefault="00CD125E" w:rsidP="00A25EAC">
      <w:pPr>
        <w:pStyle w:val="ListParagraph"/>
        <w:numPr>
          <w:ilvl w:val="1"/>
          <w:numId w:val="27"/>
        </w:numPr>
        <w:spacing w:after="0" w:line="240" w:lineRule="auto"/>
        <w:rPr>
          <w:rFonts w:ascii="Lato Light" w:eastAsia="Times New Roman" w:hAnsi="Lato Light" w:cs="Calibri"/>
          <w:bCs/>
          <w:color w:val="000000"/>
        </w:rPr>
      </w:pPr>
      <w:r>
        <w:rPr>
          <w:rFonts w:ascii="Lato Light" w:eastAsia="Times New Roman" w:hAnsi="Lato Light" w:cs="Calibri"/>
          <w:bCs/>
          <w:color w:val="000000"/>
        </w:rPr>
        <w:t>Must be</w:t>
      </w:r>
      <w:r w:rsidR="00A25EAC">
        <w:rPr>
          <w:rFonts w:ascii="Lato Light" w:eastAsia="Times New Roman" w:hAnsi="Lato Light" w:cs="Calibri"/>
          <w:bCs/>
          <w:color w:val="000000"/>
        </w:rPr>
        <w:t xml:space="preserve"> included in COBRA offers</w:t>
      </w:r>
      <w:r w:rsidR="00D80A73">
        <w:rPr>
          <w:rFonts w:ascii="Lato Light" w:eastAsia="Times New Roman" w:hAnsi="Lato Light" w:cs="Calibri"/>
          <w:bCs/>
          <w:color w:val="000000"/>
        </w:rPr>
        <w:t>.</w:t>
      </w:r>
    </w:p>
    <w:p w14:paraId="5721A6F0" w14:textId="13B5828B" w:rsidR="00A25EAC" w:rsidRDefault="00CD125E" w:rsidP="00A25EAC">
      <w:pPr>
        <w:pStyle w:val="ListParagraph"/>
        <w:numPr>
          <w:ilvl w:val="1"/>
          <w:numId w:val="27"/>
        </w:numPr>
        <w:spacing w:after="0" w:line="240" w:lineRule="auto"/>
        <w:rPr>
          <w:rFonts w:ascii="Lato Light" w:eastAsia="Times New Roman" w:hAnsi="Lato Light" w:cs="Calibri"/>
          <w:bCs/>
          <w:color w:val="000000"/>
        </w:rPr>
      </w:pPr>
      <w:r>
        <w:rPr>
          <w:rFonts w:ascii="Lato Light" w:eastAsia="Times New Roman" w:hAnsi="Lato Light" w:cs="Calibri"/>
          <w:bCs/>
          <w:color w:val="000000"/>
        </w:rPr>
        <w:t>Must comply</w:t>
      </w:r>
      <w:r w:rsidR="00A25EAC">
        <w:rPr>
          <w:rFonts w:ascii="Lato Light" w:eastAsia="Times New Roman" w:hAnsi="Lato Light" w:cs="Calibri"/>
          <w:bCs/>
          <w:color w:val="000000"/>
        </w:rPr>
        <w:t xml:space="preserve"> with MHPAEA, including the required parity analysis and NQTL analysis</w:t>
      </w:r>
      <w:r w:rsidR="00D80A73">
        <w:rPr>
          <w:rFonts w:ascii="Lato Light" w:eastAsia="Times New Roman" w:hAnsi="Lato Light" w:cs="Calibri"/>
          <w:bCs/>
          <w:color w:val="000000"/>
        </w:rPr>
        <w:t>.</w:t>
      </w:r>
    </w:p>
    <w:p w14:paraId="39A11E5F" w14:textId="355DC711" w:rsidR="00A25EAC" w:rsidRDefault="00CD125E" w:rsidP="00A25EAC">
      <w:pPr>
        <w:pStyle w:val="ListParagraph"/>
        <w:numPr>
          <w:ilvl w:val="1"/>
          <w:numId w:val="27"/>
        </w:numPr>
        <w:spacing w:after="0" w:line="240" w:lineRule="auto"/>
        <w:rPr>
          <w:rFonts w:ascii="Lato Light" w:eastAsia="Times New Roman" w:hAnsi="Lato Light" w:cs="Calibri"/>
          <w:bCs/>
          <w:color w:val="000000"/>
        </w:rPr>
      </w:pPr>
      <w:r>
        <w:rPr>
          <w:rFonts w:ascii="Lato Light" w:eastAsia="Times New Roman" w:hAnsi="Lato Light" w:cs="Calibri"/>
          <w:bCs/>
          <w:color w:val="000000"/>
        </w:rPr>
        <w:t>Must c</w:t>
      </w:r>
      <w:r w:rsidR="00A25EAC">
        <w:rPr>
          <w:rFonts w:ascii="Lato Light" w:eastAsia="Times New Roman" w:hAnsi="Lato Light" w:cs="Calibri"/>
          <w:bCs/>
          <w:color w:val="000000"/>
        </w:rPr>
        <w:t>omply with HIPAA</w:t>
      </w:r>
      <w:r w:rsidR="00D80A73">
        <w:rPr>
          <w:rFonts w:ascii="Lato Light" w:eastAsia="Times New Roman" w:hAnsi="Lato Light" w:cs="Calibri"/>
          <w:bCs/>
          <w:color w:val="000000"/>
        </w:rPr>
        <w:t>.</w:t>
      </w:r>
    </w:p>
    <w:p w14:paraId="096BEE3B" w14:textId="69AAB655" w:rsidR="00A25EAC" w:rsidRDefault="00CD125E" w:rsidP="00A25EAC">
      <w:pPr>
        <w:pStyle w:val="ListParagraph"/>
        <w:numPr>
          <w:ilvl w:val="1"/>
          <w:numId w:val="27"/>
        </w:numPr>
        <w:spacing w:after="0" w:line="240" w:lineRule="auto"/>
        <w:rPr>
          <w:rFonts w:ascii="Lato Light" w:eastAsia="Times New Roman" w:hAnsi="Lato Light" w:cs="Calibri"/>
          <w:bCs/>
          <w:color w:val="000000"/>
        </w:rPr>
      </w:pPr>
      <w:r>
        <w:rPr>
          <w:rFonts w:ascii="Lato Light" w:eastAsia="Times New Roman" w:hAnsi="Lato Light" w:cs="Calibri"/>
          <w:bCs/>
          <w:color w:val="000000"/>
        </w:rPr>
        <w:t xml:space="preserve">Must </w:t>
      </w:r>
      <w:r w:rsidR="00A25EAC">
        <w:rPr>
          <w:rFonts w:ascii="Lato Light" w:eastAsia="Times New Roman" w:hAnsi="Lato Light" w:cs="Calibri"/>
          <w:bCs/>
          <w:color w:val="000000"/>
        </w:rPr>
        <w:t>not have prohibited gag clauses</w:t>
      </w:r>
      <w:r w:rsidR="000D1D70">
        <w:rPr>
          <w:rFonts w:ascii="Lato Light" w:eastAsia="Times New Roman" w:hAnsi="Lato Light" w:cs="Calibri"/>
          <w:bCs/>
          <w:color w:val="000000"/>
        </w:rPr>
        <w:t xml:space="preserve"> in service agreements</w:t>
      </w:r>
      <w:r w:rsidR="00D80A73">
        <w:rPr>
          <w:rFonts w:ascii="Lato Light" w:eastAsia="Times New Roman" w:hAnsi="Lato Light" w:cs="Calibri"/>
          <w:bCs/>
          <w:color w:val="000000"/>
        </w:rPr>
        <w:t>.</w:t>
      </w:r>
    </w:p>
    <w:p w14:paraId="6DC46C70" w14:textId="5521CEF1" w:rsidR="00A25EAC" w:rsidRDefault="00CD125E" w:rsidP="00A25EAC">
      <w:pPr>
        <w:pStyle w:val="ListParagraph"/>
        <w:numPr>
          <w:ilvl w:val="1"/>
          <w:numId w:val="27"/>
        </w:numPr>
        <w:spacing w:after="0" w:line="240" w:lineRule="auto"/>
        <w:rPr>
          <w:rFonts w:ascii="Lato Light" w:eastAsia="Times New Roman" w:hAnsi="Lato Light" w:cs="Calibri"/>
          <w:bCs/>
          <w:color w:val="000000"/>
        </w:rPr>
      </w:pPr>
      <w:r>
        <w:rPr>
          <w:rFonts w:ascii="Lato Light" w:eastAsia="Times New Roman" w:hAnsi="Lato Light" w:cs="Calibri"/>
          <w:bCs/>
          <w:color w:val="000000"/>
        </w:rPr>
        <w:t>Must p</w:t>
      </w:r>
      <w:r w:rsidR="00A25EAC">
        <w:rPr>
          <w:rFonts w:ascii="Lato Light" w:eastAsia="Times New Roman" w:hAnsi="Lato Light" w:cs="Calibri"/>
          <w:bCs/>
          <w:color w:val="000000"/>
        </w:rPr>
        <w:t>rovid</w:t>
      </w:r>
      <w:r>
        <w:rPr>
          <w:rFonts w:ascii="Lato Light" w:eastAsia="Times New Roman" w:hAnsi="Lato Light" w:cs="Calibri"/>
          <w:bCs/>
          <w:color w:val="000000"/>
        </w:rPr>
        <w:t>e</w:t>
      </w:r>
      <w:r w:rsidR="00A25EAC">
        <w:rPr>
          <w:rFonts w:ascii="Lato Light" w:eastAsia="Times New Roman" w:hAnsi="Lato Light" w:cs="Calibri"/>
          <w:bCs/>
          <w:color w:val="000000"/>
        </w:rPr>
        <w:t xml:space="preserve"> data to support RxDC reporting requirements and other CAA-21 transparency requirements</w:t>
      </w:r>
      <w:r w:rsidR="00D80A73">
        <w:rPr>
          <w:rFonts w:ascii="Lato Light" w:eastAsia="Times New Roman" w:hAnsi="Lato Light" w:cs="Calibri"/>
          <w:bCs/>
          <w:color w:val="000000"/>
        </w:rPr>
        <w:t>.</w:t>
      </w:r>
    </w:p>
    <w:p w14:paraId="41440F13" w14:textId="77777777" w:rsidR="00D80A73" w:rsidRDefault="00D80A73" w:rsidP="00D80A73">
      <w:pPr>
        <w:spacing w:after="0" w:line="240" w:lineRule="auto"/>
        <w:rPr>
          <w:rFonts w:ascii="Lato Light" w:eastAsia="Times New Roman" w:hAnsi="Lato Light" w:cs="Calibri"/>
          <w:bCs/>
          <w:color w:val="000000"/>
        </w:rPr>
      </w:pPr>
    </w:p>
    <w:p w14:paraId="7C82A6CE" w14:textId="680B87E9" w:rsidR="00D80A73" w:rsidRDefault="00D80A73" w:rsidP="00D80A73">
      <w:pPr>
        <w:spacing w:after="0" w:line="240" w:lineRule="auto"/>
        <w:rPr>
          <w:rFonts w:ascii="Lato Light" w:eastAsia="Times New Roman" w:hAnsi="Lato Light" w:cs="Calibri"/>
          <w:bCs/>
          <w:color w:val="000000"/>
        </w:rPr>
      </w:pPr>
      <w:r>
        <w:rPr>
          <w:rFonts w:ascii="Lato Light" w:eastAsia="Times New Roman" w:hAnsi="Lato Light" w:cs="Calibri"/>
          <w:bCs/>
          <w:color w:val="000000"/>
        </w:rPr>
        <w:t xml:space="preserve">While telemedicine is a popular benefit for many employers, it is important to understand that these benefits are viewed as group health plans themselves, and carry with them many compliance obligations. </w:t>
      </w:r>
    </w:p>
    <w:p w14:paraId="0E20CB9F" w14:textId="77777777" w:rsidR="00D80A73" w:rsidRDefault="00D80A73" w:rsidP="00D80A73">
      <w:pPr>
        <w:spacing w:after="0" w:line="240" w:lineRule="auto"/>
        <w:rPr>
          <w:rFonts w:ascii="Lato Light" w:eastAsia="Times New Roman" w:hAnsi="Lato Light" w:cs="Calibri"/>
          <w:bCs/>
          <w:color w:val="000000"/>
        </w:rPr>
      </w:pPr>
    </w:p>
    <w:p w14:paraId="05C82CF0" w14:textId="218CAF47" w:rsidR="00D80A73" w:rsidRPr="00D80A73" w:rsidRDefault="00D80A73" w:rsidP="00D80A73">
      <w:pPr>
        <w:spacing w:after="0" w:line="240" w:lineRule="auto"/>
        <w:rPr>
          <w:rFonts w:ascii="Lato Light" w:eastAsia="Times New Roman" w:hAnsi="Lato Light" w:cs="Calibri"/>
          <w:bCs/>
          <w:color w:val="000000"/>
        </w:rPr>
      </w:pPr>
      <w:r>
        <w:rPr>
          <w:rFonts w:ascii="Lato Light" w:eastAsia="Times New Roman" w:hAnsi="Lato Light" w:cs="Calibri"/>
          <w:bCs/>
          <w:color w:val="000000"/>
        </w:rPr>
        <w:t xml:space="preserve">In addition, employers offering an </w:t>
      </w:r>
      <w:r w:rsidR="00797659">
        <w:rPr>
          <w:rFonts w:ascii="Lato Light" w:eastAsia="Times New Roman" w:hAnsi="Lato Light" w:cs="Calibri"/>
          <w:bCs/>
          <w:color w:val="000000"/>
        </w:rPr>
        <w:t>HSA Q</w:t>
      </w:r>
      <w:r>
        <w:rPr>
          <w:rFonts w:ascii="Lato Light" w:eastAsia="Times New Roman" w:hAnsi="Lato Light" w:cs="Calibri"/>
          <w:bCs/>
          <w:color w:val="000000"/>
        </w:rPr>
        <w:t xml:space="preserve">HDHPs with a telemedicine component should ensure the fair market value for telemedicine services is charged for plan years beginning in 2025.  Otherwise, low or no-cost telehealth services paid prior to the minimum deductible is considered disqualifying coverage for purposes of </w:t>
      </w:r>
      <w:r w:rsidR="00797659">
        <w:rPr>
          <w:rFonts w:ascii="Lato Light" w:eastAsia="Times New Roman" w:hAnsi="Lato Light" w:cs="Calibri"/>
          <w:bCs/>
          <w:color w:val="000000"/>
        </w:rPr>
        <w:t xml:space="preserve">HSA </w:t>
      </w:r>
      <w:r>
        <w:rPr>
          <w:rFonts w:ascii="Lato Light" w:eastAsia="Times New Roman" w:hAnsi="Lato Light" w:cs="Calibri"/>
          <w:bCs/>
          <w:color w:val="000000"/>
        </w:rPr>
        <w:t xml:space="preserve">eligibility. </w:t>
      </w:r>
    </w:p>
    <w:p w14:paraId="6684BDF8" w14:textId="5A7496F4" w:rsidR="001A7FED" w:rsidRDefault="001A7FED" w:rsidP="00DC5691">
      <w:pPr>
        <w:spacing w:after="0" w:line="240" w:lineRule="auto"/>
        <w:rPr>
          <w:rFonts w:ascii="Lato Light" w:eastAsia="Times New Roman" w:hAnsi="Lato Light" w:cs="Calibri"/>
          <w:bCs/>
          <w:color w:val="000000"/>
        </w:rPr>
      </w:pPr>
    </w:p>
    <w:p w14:paraId="631CE179" w14:textId="77777777" w:rsidR="00305874" w:rsidRDefault="00305874" w:rsidP="001A7FED">
      <w:pPr>
        <w:spacing w:after="0" w:line="240" w:lineRule="auto"/>
        <w:rPr>
          <w:rFonts w:ascii="Lato Light" w:eastAsia="Times New Roman" w:hAnsi="Lato Light" w:cs="Calibri"/>
          <w:bCs/>
          <w:color w:val="000000"/>
        </w:rPr>
      </w:pPr>
    </w:p>
    <w:p w14:paraId="7ECE889A" w14:textId="5E61D527" w:rsidR="00F91961" w:rsidRPr="00C1366C" w:rsidRDefault="00F91961" w:rsidP="00F91961">
      <w:pPr>
        <w:rPr>
          <w:rFonts w:ascii="Lato Light" w:hAnsi="Lato Light"/>
        </w:rPr>
      </w:pPr>
    </w:p>
    <w:p w14:paraId="79BE8992" w14:textId="77777777" w:rsidR="00305874" w:rsidRPr="001A7FED" w:rsidRDefault="00305874" w:rsidP="001A7FED">
      <w:pPr>
        <w:spacing w:after="0" w:line="240" w:lineRule="auto"/>
        <w:rPr>
          <w:rFonts w:ascii="Lato Light" w:eastAsia="Times New Roman" w:hAnsi="Lato Light" w:cs="Calibri"/>
          <w:bCs/>
          <w:color w:val="000000"/>
        </w:rPr>
      </w:pPr>
    </w:p>
    <w:sectPr w:rsidR="00305874" w:rsidRPr="001A7F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altName w:val="Segoe U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E7D95"/>
    <w:multiLevelType w:val="multilevel"/>
    <w:tmpl w:val="35D0C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A5007A"/>
    <w:multiLevelType w:val="hybridMultilevel"/>
    <w:tmpl w:val="E4BE0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542FB"/>
    <w:multiLevelType w:val="hybridMultilevel"/>
    <w:tmpl w:val="A9D0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136AB"/>
    <w:multiLevelType w:val="hybridMultilevel"/>
    <w:tmpl w:val="FD36B5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01D9B"/>
    <w:multiLevelType w:val="hybridMultilevel"/>
    <w:tmpl w:val="8AB26FF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7D70FC1"/>
    <w:multiLevelType w:val="hybridMultilevel"/>
    <w:tmpl w:val="1116D1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46BF6"/>
    <w:multiLevelType w:val="hybridMultilevel"/>
    <w:tmpl w:val="0C6E41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12D21"/>
    <w:multiLevelType w:val="hybridMultilevel"/>
    <w:tmpl w:val="EF54F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E508E"/>
    <w:multiLevelType w:val="hybridMultilevel"/>
    <w:tmpl w:val="1FE05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9A7C1A"/>
    <w:multiLevelType w:val="hybridMultilevel"/>
    <w:tmpl w:val="64FCA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90640E"/>
    <w:multiLevelType w:val="multilevel"/>
    <w:tmpl w:val="89062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F8777B"/>
    <w:multiLevelType w:val="hybridMultilevel"/>
    <w:tmpl w:val="0616C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466709"/>
    <w:multiLevelType w:val="hybridMultilevel"/>
    <w:tmpl w:val="4292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0A3282"/>
    <w:multiLevelType w:val="multilevel"/>
    <w:tmpl w:val="D74C0F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A03C0A"/>
    <w:multiLevelType w:val="hybridMultilevel"/>
    <w:tmpl w:val="2642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250202"/>
    <w:multiLevelType w:val="hybridMultilevel"/>
    <w:tmpl w:val="64F695A6"/>
    <w:lvl w:ilvl="0" w:tplc="1E1EC508">
      <w:numFmt w:val="bullet"/>
      <w:lvlText w:val="-"/>
      <w:lvlJc w:val="left"/>
      <w:pPr>
        <w:ind w:left="720" w:hanging="360"/>
      </w:pPr>
      <w:rPr>
        <w:rFonts w:ascii="Lato Light" w:eastAsiaTheme="minorHAnsi" w:hAnsi="Lato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7D6E2D"/>
    <w:multiLevelType w:val="hybridMultilevel"/>
    <w:tmpl w:val="1EEE0BA6"/>
    <w:lvl w:ilvl="0" w:tplc="01BCDD36">
      <w:start w:val="21"/>
      <w:numFmt w:val="bullet"/>
      <w:lvlText w:val="·"/>
      <w:lvlJc w:val="left"/>
      <w:pPr>
        <w:ind w:left="948" w:hanging="588"/>
      </w:pPr>
      <w:rPr>
        <w:rFonts w:ascii="Lato Light" w:eastAsia="Times New Roman" w:hAnsi="Lato Light"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E61FC8"/>
    <w:multiLevelType w:val="hybridMultilevel"/>
    <w:tmpl w:val="E822D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230CA"/>
    <w:multiLevelType w:val="hybridMultilevel"/>
    <w:tmpl w:val="E536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B87652"/>
    <w:multiLevelType w:val="hybridMultilevel"/>
    <w:tmpl w:val="33720AA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1FA2C62"/>
    <w:multiLevelType w:val="hybridMultilevel"/>
    <w:tmpl w:val="07F8F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6C1302"/>
    <w:multiLevelType w:val="multilevel"/>
    <w:tmpl w:val="E30C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9B497C"/>
    <w:multiLevelType w:val="hybridMultilevel"/>
    <w:tmpl w:val="5B8A2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5070F8"/>
    <w:multiLevelType w:val="multilevel"/>
    <w:tmpl w:val="4ABE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4031B0"/>
    <w:multiLevelType w:val="hybridMultilevel"/>
    <w:tmpl w:val="7488F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D6634A"/>
    <w:multiLevelType w:val="hybridMultilevel"/>
    <w:tmpl w:val="C86C6714"/>
    <w:lvl w:ilvl="0" w:tplc="CF8CE3F0">
      <w:start w:val="1"/>
      <w:numFmt w:val="bullet"/>
      <w:lvlText w:val="•"/>
      <w:lvlJc w:val="left"/>
      <w:pPr>
        <w:tabs>
          <w:tab w:val="num" w:pos="720"/>
        </w:tabs>
        <w:ind w:left="720" w:hanging="360"/>
      </w:pPr>
      <w:rPr>
        <w:rFonts w:ascii="Arial" w:hAnsi="Arial" w:hint="default"/>
      </w:rPr>
    </w:lvl>
    <w:lvl w:ilvl="1" w:tplc="00366BB0">
      <w:numFmt w:val="bullet"/>
      <w:lvlText w:val="•"/>
      <w:lvlJc w:val="left"/>
      <w:pPr>
        <w:tabs>
          <w:tab w:val="num" w:pos="1440"/>
        </w:tabs>
        <w:ind w:left="1440" w:hanging="360"/>
      </w:pPr>
      <w:rPr>
        <w:rFonts w:ascii="Arial" w:hAnsi="Arial" w:hint="default"/>
      </w:rPr>
    </w:lvl>
    <w:lvl w:ilvl="2" w:tplc="DEC006DE" w:tentative="1">
      <w:start w:val="1"/>
      <w:numFmt w:val="bullet"/>
      <w:lvlText w:val="•"/>
      <w:lvlJc w:val="left"/>
      <w:pPr>
        <w:tabs>
          <w:tab w:val="num" w:pos="2160"/>
        </w:tabs>
        <w:ind w:left="2160" w:hanging="360"/>
      </w:pPr>
      <w:rPr>
        <w:rFonts w:ascii="Arial" w:hAnsi="Arial" w:hint="default"/>
      </w:rPr>
    </w:lvl>
    <w:lvl w:ilvl="3" w:tplc="D52A41D6" w:tentative="1">
      <w:start w:val="1"/>
      <w:numFmt w:val="bullet"/>
      <w:lvlText w:val="•"/>
      <w:lvlJc w:val="left"/>
      <w:pPr>
        <w:tabs>
          <w:tab w:val="num" w:pos="2880"/>
        </w:tabs>
        <w:ind w:left="2880" w:hanging="360"/>
      </w:pPr>
      <w:rPr>
        <w:rFonts w:ascii="Arial" w:hAnsi="Arial" w:hint="default"/>
      </w:rPr>
    </w:lvl>
    <w:lvl w:ilvl="4" w:tplc="05F6FFA0" w:tentative="1">
      <w:start w:val="1"/>
      <w:numFmt w:val="bullet"/>
      <w:lvlText w:val="•"/>
      <w:lvlJc w:val="left"/>
      <w:pPr>
        <w:tabs>
          <w:tab w:val="num" w:pos="3600"/>
        </w:tabs>
        <w:ind w:left="3600" w:hanging="360"/>
      </w:pPr>
      <w:rPr>
        <w:rFonts w:ascii="Arial" w:hAnsi="Arial" w:hint="default"/>
      </w:rPr>
    </w:lvl>
    <w:lvl w:ilvl="5" w:tplc="46E4217E" w:tentative="1">
      <w:start w:val="1"/>
      <w:numFmt w:val="bullet"/>
      <w:lvlText w:val="•"/>
      <w:lvlJc w:val="left"/>
      <w:pPr>
        <w:tabs>
          <w:tab w:val="num" w:pos="4320"/>
        </w:tabs>
        <w:ind w:left="4320" w:hanging="360"/>
      </w:pPr>
      <w:rPr>
        <w:rFonts w:ascii="Arial" w:hAnsi="Arial" w:hint="default"/>
      </w:rPr>
    </w:lvl>
    <w:lvl w:ilvl="6" w:tplc="26E2266C" w:tentative="1">
      <w:start w:val="1"/>
      <w:numFmt w:val="bullet"/>
      <w:lvlText w:val="•"/>
      <w:lvlJc w:val="left"/>
      <w:pPr>
        <w:tabs>
          <w:tab w:val="num" w:pos="5040"/>
        </w:tabs>
        <w:ind w:left="5040" w:hanging="360"/>
      </w:pPr>
      <w:rPr>
        <w:rFonts w:ascii="Arial" w:hAnsi="Arial" w:hint="default"/>
      </w:rPr>
    </w:lvl>
    <w:lvl w:ilvl="7" w:tplc="4920ABAA" w:tentative="1">
      <w:start w:val="1"/>
      <w:numFmt w:val="bullet"/>
      <w:lvlText w:val="•"/>
      <w:lvlJc w:val="left"/>
      <w:pPr>
        <w:tabs>
          <w:tab w:val="num" w:pos="5760"/>
        </w:tabs>
        <w:ind w:left="5760" w:hanging="360"/>
      </w:pPr>
      <w:rPr>
        <w:rFonts w:ascii="Arial" w:hAnsi="Arial" w:hint="default"/>
      </w:rPr>
    </w:lvl>
    <w:lvl w:ilvl="8" w:tplc="36E2C6A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0BE6FEB"/>
    <w:multiLevelType w:val="hybridMultilevel"/>
    <w:tmpl w:val="A4ACD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2141DD"/>
    <w:multiLevelType w:val="hybridMultilevel"/>
    <w:tmpl w:val="F9303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2E0322"/>
    <w:multiLevelType w:val="hybridMultilevel"/>
    <w:tmpl w:val="A6C8D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3127B0"/>
    <w:multiLevelType w:val="hybridMultilevel"/>
    <w:tmpl w:val="6C62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8356386">
    <w:abstractNumId w:val="2"/>
  </w:num>
  <w:num w:numId="2" w16cid:durableId="880441318">
    <w:abstractNumId w:val="7"/>
  </w:num>
  <w:num w:numId="3" w16cid:durableId="549224346">
    <w:abstractNumId w:val="17"/>
  </w:num>
  <w:num w:numId="4" w16cid:durableId="1560047669">
    <w:abstractNumId w:val="11"/>
  </w:num>
  <w:num w:numId="5" w16cid:durableId="393434572">
    <w:abstractNumId w:val="0"/>
  </w:num>
  <w:num w:numId="6" w16cid:durableId="755130633">
    <w:abstractNumId w:val="10"/>
  </w:num>
  <w:num w:numId="7" w16cid:durableId="824787323">
    <w:abstractNumId w:val="23"/>
  </w:num>
  <w:num w:numId="8" w16cid:durableId="253326142">
    <w:abstractNumId w:val="13"/>
  </w:num>
  <w:num w:numId="9" w16cid:durableId="960378616">
    <w:abstractNumId w:val="21"/>
  </w:num>
  <w:num w:numId="10" w16cid:durableId="1838567836">
    <w:abstractNumId w:val="1"/>
  </w:num>
  <w:num w:numId="11" w16cid:durableId="1588999218">
    <w:abstractNumId w:val="25"/>
  </w:num>
  <w:num w:numId="12" w16cid:durableId="383255070">
    <w:abstractNumId w:val="26"/>
  </w:num>
  <w:num w:numId="13" w16cid:durableId="1365055348">
    <w:abstractNumId w:val="27"/>
  </w:num>
  <w:num w:numId="14" w16cid:durableId="1346709893">
    <w:abstractNumId w:val="9"/>
  </w:num>
  <w:num w:numId="15" w16cid:durableId="330254591">
    <w:abstractNumId w:val="24"/>
  </w:num>
  <w:num w:numId="16" w16cid:durableId="387655192">
    <w:abstractNumId w:val="20"/>
  </w:num>
  <w:num w:numId="17" w16cid:durableId="335815200">
    <w:abstractNumId w:val="22"/>
  </w:num>
  <w:num w:numId="18" w16cid:durableId="278143823">
    <w:abstractNumId w:val="14"/>
  </w:num>
  <w:num w:numId="19" w16cid:durableId="84158097">
    <w:abstractNumId w:val="15"/>
  </w:num>
  <w:num w:numId="20" w16cid:durableId="1970820219">
    <w:abstractNumId w:val="4"/>
  </w:num>
  <w:num w:numId="21" w16cid:durableId="1453555177">
    <w:abstractNumId w:val="3"/>
  </w:num>
  <w:num w:numId="22" w16cid:durableId="1509443282">
    <w:abstractNumId w:val="6"/>
  </w:num>
  <w:num w:numId="23" w16cid:durableId="329986107">
    <w:abstractNumId w:val="16"/>
  </w:num>
  <w:num w:numId="24" w16cid:durableId="1529217972">
    <w:abstractNumId w:val="18"/>
  </w:num>
  <w:num w:numId="25" w16cid:durableId="995303443">
    <w:abstractNumId w:val="12"/>
  </w:num>
  <w:num w:numId="26" w16cid:durableId="953362368">
    <w:abstractNumId w:val="5"/>
  </w:num>
  <w:num w:numId="27" w16cid:durableId="982731306">
    <w:abstractNumId w:val="28"/>
  </w:num>
  <w:num w:numId="28" w16cid:durableId="1350138632">
    <w:abstractNumId w:val="8"/>
  </w:num>
  <w:num w:numId="29" w16cid:durableId="1764953131">
    <w:abstractNumId w:val="29"/>
  </w:num>
  <w:num w:numId="30" w16cid:durableId="18928795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126"/>
    <w:rsid w:val="000138C7"/>
    <w:rsid w:val="00015B19"/>
    <w:rsid w:val="0009334A"/>
    <w:rsid w:val="000C2A04"/>
    <w:rsid w:val="000C7B93"/>
    <w:rsid w:val="000D1D70"/>
    <w:rsid w:val="000E7266"/>
    <w:rsid w:val="000F74C6"/>
    <w:rsid w:val="00103721"/>
    <w:rsid w:val="001226AB"/>
    <w:rsid w:val="00125A3A"/>
    <w:rsid w:val="00153922"/>
    <w:rsid w:val="00160F6C"/>
    <w:rsid w:val="001733CF"/>
    <w:rsid w:val="00187F36"/>
    <w:rsid w:val="001A7FED"/>
    <w:rsid w:val="001D1E4F"/>
    <w:rsid w:val="001F6430"/>
    <w:rsid w:val="00211390"/>
    <w:rsid w:val="0024046B"/>
    <w:rsid w:val="002700BD"/>
    <w:rsid w:val="00282389"/>
    <w:rsid w:val="002A44B7"/>
    <w:rsid w:val="002A7F63"/>
    <w:rsid w:val="002C0608"/>
    <w:rsid w:val="002C718C"/>
    <w:rsid w:val="00305874"/>
    <w:rsid w:val="00312683"/>
    <w:rsid w:val="003316E2"/>
    <w:rsid w:val="00336458"/>
    <w:rsid w:val="00342333"/>
    <w:rsid w:val="00351B2E"/>
    <w:rsid w:val="0036680B"/>
    <w:rsid w:val="00381A7F"/>
    <w:rsid w:val="003A07AC"/>
    <w:rsid w:val="003F3D1B"/>
    <w:rsid w:val="00424639"/>
    <w:rsid w:val="00427B65"/>
    <w:rsid w:val="00436370"/>
    <w:rsid w:val="004408D6"/>
    <w:rsid w:val="00442869"/>
    <w:rsid w:val="00443D09"/>
    <w:rsid w:val="00451E51"/>
    <w:rsid w:val="00474B78"/>
    <w:rsid w:val="00474DF0"/>
    <w:rsid w:val="00481F4A"/>
    <w:rsid w:val="004918E9"/>
    <w:rsid w:val="004C2534"/>
    <w:rsid w:val="004F6032"/>
    <w:rsid w:val="00501C96"/>
    <w:rsid w:val="00501FC4"/>
    <w:rsid w:val="00510F3B"/>
    <w:rsid w:val="00514600"/>
    <w:rsid w:val="00524D1F"/>
    <w:rsid w:val="00555851"/>
    <w:rsid w:val="0059003C"/>
    <w:rsid w:val="00593107"/>
    <w:rsid w:val="005B7BB8"/>
    <w:rsid w:val="005D2326"/>
    <w:rsid w:val="005D6829"/>
    <w:rsid w:val="005F7F93"/>
    <w:rsid w:val="00620284"/>
    <w:rsid w:val="00620DBC"/>
    <w:rsid w:val="00641403"/>
    <w:rsid w:val="00642157"/>
    <w:rsid w:val="006503DD"/>
    <w:rsid w:val="00673986"/>
    <w:rsid w:val="00681498"/>
    <w:rsid w:val="006859FA"/>
    <w:rsid w:val="006D7348"/>
    <w:rsid w:val="006E2D9B"/>
    <w:rsid w:val="006F5A6E"/>
    <w:rsid w:val="00722814"/>
    <w:rsid w:val="00731D3B"/>
    <w:rsid w:val="007576DA"/>
    <w:rsid w:val="0076148A"/>
    <w:rsid w:val="00791432"/>
    <w:rsid w:val="00792453"/>
    <w:rsid w:val="00797659"/>
    <w:rsid w:val="007A693A"/>
    <w:rsid w:val="007D50A9"/>
    <w:rsid w:val="007E1E1E"/>
    <w:rsid w:val="007E2584"/>
    <w:rsid w:val="007F1FB6"/>
    <w:rsid w:val="008006A8"/>
    <w:rsid w:val="00814D57"/>
    <w:rsid w:val="00830C2F"/>
    <w:rsid w:val="00844950"/>
    <w:rsid w:val="00880762"/>
    <w:rsid w:val="00881CE0"/>
    <w:rsid w:val="00887E5F"/>
    <w:rsid w:val="008D0343"/>
    <w:rsid w:val="008E2144"/>
    <w:rsid w:val="0091193B"/>
    <w:rsid w:val="00966DC6"/>
    <w:rsid w:val="009830AC"/>
    <w:rsid w:val="00983CB6"/>
    <w:rsid w:val="0098688C"/>
    <w:rsid w:val="009F260C"/>
    <w:rsid w:val="00A25EAC"/>
    <w:rsid w:val="00A34F57"/>
    <w:rsid w:val="00A43337"/>
    <w:rsid w:val="00A625D0"/>
    <w:rsid w:val="00AB7AF8"/>
    <w:rsid w:val="00AD5599"/>
    <w:rsid w:val="00AD6DCB"/>
    <w:rsid w:val="00AF1ED0"/>
    <w:rsid w:val="00AF3401"/>
    <w:rsid w:val="00B0562E"/>
    <w:rsid w:val="00B2773D"/>
    <w:rsid w:val="00B404AA"/>
    <w:rsid w:val="00B45498"/>
    <w:rsid w:val="00B511BC"/>
    <w:rsid w:val="00B51E12"/>
    <w:rsid w:val="00B87EA4"/>
    <w:rsid w:val="00BA37CD"/>
    <w:rsid w:val="00BC2AFB"/>
    <w:rsid w:val="00BC6235"/>
    <w:rsid w:val="00C059DE"/>
    <w:rsid w:val="00C15E13"/>
    <w:rsid w:val="00C45B26"/>
    <w:rsid w:val="00C52DE7"/>
    <w:rsid w:val="00C72E4F"/>
    <w:rsid w:val="00CD0FB4"/>
    <w:rsid w:val="00CD125E"/>
    <w:rsid w:val="00CE1579"/>
    <w:rsid w:val="00D17172"/>
    <w:rsid w:val="00D41DB7"/>
    <w:rsid w:val="00D54F90"/>
    <w:rsid w:val="00D70EA0"/>
    <w:rsid w:val="00D80A73"/>
    <w:rsid w:val="00DC2F05"/>
    <w:rsid w:val="00DC4C16"/>
    <w:rsid w:val="00DC5691"/>
    <w:rsid w:val="00DD266E"/>
    <w:rsid w:val="00DE05EE"/>
    <w:rsid w:val="00DE4743"/>
    <w:rsid w:val="00E1169B"/>
    <w:rsid w:val="00E4627D"/>
    <w:rsid w:val="00E463D4"/>
    <w:rsid w:val="00E55B15"/>
    <w:rsid w:val="00E6504F"/>
    <w:rsid w:val="00EA6631"/>
    <w:rsid w:val="00EC7BA4"/>
    <w:rsid w:val="00ED031D"/>
    <w:rsid w:val="00F03C53"/>
    <w:rsid w:val="00F12481"/>
    <w:rsid w:val="00F259C7"/>
    <w:rsid w:val="00F314EF"/>
    <w:rsid w:val="00F327A9"/>
    <w:rsid w:val="00F60126"/>
    <w:rsid w:val="00F71275"/>
    <w:rsid w:val="00F91961"/>
    <w:rsid w:val="00FA08BA"/>
    <w:rsid w:val="00FB2151"/>
    <w:rsid w:val="00FC3A58"/>
    <w:rsid w:val="00FF7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48911"/>
  <w15:chartTrackingRefBased/>
  <w15:docId w15:val="{C57F0B19-9BF1-4493-B728-F1C1E047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D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126"/>
    <w:rPr>
      <w:color w:val="0563C1" w:themeColor="hyperlink"/>
      <w:u w:val="single"/>
    </w:rPr>
  </w:style>
  <w:style w:type="character" w:styleId="UnresolvedMention">
    <w:name w:val="Unresolved Mention"/>
    <w:basedOn w:val="DefaultParagraphFont"/>
    <w:uiPriority w:val="99"/>
    <w:semiHidden/>
    <w:unhideWhenUsed/>
    <w:rsid w:val="00F60126"/>
    <w:rPr>
      <w:color w:val="605E5C"/>
      <w:shd w:val="clear" w:color="auto" w:fill="E1DFDD"/>
    </w:rPr>
  </w:style>
  <w:style w:type="paragraph" w:styleId="ListParagraph">
    <w:name w:val="List Paragraph"/>
    <w:basedOn w:val="Normal"/>
    <w:uiPriority w:val="34"/>
    <w:qFormat/>
    <w:rsid w:val="00F60126"/>
    <w:pPr>
      <w:ind w:left="720"/>
      <w:contextualSpacing/>
    </w:pPr>
  </w:style>
  <w:style w:type="character" w:styleId="FollowedHyperlink">
    <w:name w:val="FollowedHyperlink"/>
    <w:basedOn w:val="DefaultParagraphFont"/>
    <w:uiPriority w:val="99"/>
    <w:semiHidden/>
    <w:unhideWhenUsed/>
    <w:rsid w:val="00442869"/>
    <w:rPr>
      <w:color w:val="954F72" w:themeColor="followedHyperlink"/>
      <w:u w:val="single"/>
    </w:rPr>
  </w:style>
  <w:style w:type="table" w:styleId="TableGrid">
    <w:name w:val="Table Grid"/>
    <w:basedOn w:val="TableNormal"/>
    <w:uiPriority w:val="39"/>
    <w:rsid w:val="00F9196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322307">
      <w:bodyDiv w:val="1"/>
      <w:marLeft w:val="0"/>
      <w:marRight w:val="0"/>
      <w:marTop w:val="0"/>
      <w:marBottom w:val="0"/>
      <w:divBdr>
        <w:top w:val="none" w:sz="0" w:space="0" w:color="auto"/>
        <w:left w:val="none" w:sz="0" w:space="0" w:color="auto"/>
        <w:bottom w:val="none" w:sz="0" w:space="0" w:color="auto"/>
        <w:right w:val="none" w:sz="0" w:space="0" w:color="auto"/>
      </w:divBdr>
    </w:div>
    <w:div w:id="233323970">
      <w:bodyDiv w:val="1"/>
      <w:marLeft w:val="0"/>
      <w:marRight w:val="0"/>
      <w:marTop w:val="0"/>
      <w:marBottom w:val="0"/>
      <w:divBdr>
        <w:top w:val="none" w:sz="0" w:space="0" w:color="auto"/>
        <w:left w:val="none" w:sz="0" w:space="0" w:color="auto"/>
        <w:bottom w:val="none" w:sz="0" w:space="0" w:color="auto"/>
        <w:right w:val="none" w:sz="0" w:space="0" w:color="auto"/>
      </w:divBdr>
    </w:div>
    <w:div w:id="408623861">
      <w:bodyDiv w:val="1"/>
      <w:marLeft w:val="0"/>
      <w:marRight w:val="0"/>
      <w:marTop w:val="0"/>
      <w:marBottom w:val="0"/>
      <w:divBdr>
        <w:top w:val="none" w:sz="0" w:space="0" w:color="auto"/>
        <w:left w:val="none" w:sz="0" w:space="0" w:color="auto"/>
        <w:bottom w:val="none" w:sz="0" w:space="0" w:color="auto"/>
        <w:right w:val="none" w:sz="0" w:space="0" w:color="auto"/>
      </w:divBdr>
    </w:div>
    <w:div w:id="472793287">
      <w:bodyDiv w:val="1"/>
      <w:marLeft w:val="0"/>
      <w:marRight w:val="0"/>
      <w:marTop w:val="0"/>
      <w:marBottom w:val="0"/>
      <w:divBdr>
        <w:top w:val="none" w:sz="0" w:space="0" w:color="auto"/>
        <w:left w:val="none" w:sz="0" w:space="0" w:color="auto"/>
        <w:bottom w:val="none" w:sz="0" w:space="0" w:color="auto"/>
        <w:right w:val="none" w:sz="0" w:space="0" w:color="auto"/>
      </w:divBdr>
    </w:div>
    <w:div w:id="610354133">
      <w:bodyDiv w:val="1"/>
      <w:marLeft w:val="0"/>
      <w:marRight w:val="0"/>
      <w:marTop w:val="0"/>
      <w:marBottom w:val="0"/>
      <w:divBdr>
        <w:top w:val="none" w:sz="0" w:space="0" w:color="auto"/>
        <w:left w:val="none" w:sz="0" w:space="0" w:color="auto"/>
        <w:bottom w:val="none" w:sz="0" w:space="0" w:color="auto"/>
        <w:right w:val="none" w:sz="0" w:space="0" w:color="auto"/>
      </w:divBdr>
    </w:div>
    <w:div w:id="642082827">
      <w:bodyDiv w:val="1"/>
      <w:marLeft w:val="0"/>
      <w:marRight w:val="0"/>
      <w:marTop w:val="0"/>
      <w:marBottom w:val="0"/>
      <w:divBdr>
        <w:top w:val="none" w:sz="0" w:space="0" w:color="auto"/>
        <w:left w:val="none" w:sz="0" w:space="0" w:color="auto"/>
        <w:bottom w:val="none" w:sz="0" w:space="0" w:color="auto"/>
        <w:right w:val="none" w:sz="0" w:space="0" w:color="auto"/>
      </w:divBdr>
      <w:divsChild>
        <w:div w:id="1176850287">
          <w:marLeft w:val="360"/>
          <w:marRight w:val="0"/>
          <w:marTop w:val="200"/>
          <w:marBottom w:val="0"/>
          <w:divBdr>
            <w:top w:val="none" w:sz="0" w:space="0" w:color="auto"/>
            <w:left w:val="none" w:sz="0" w:space="0" w:color="auto"/>
            <w:bottom w:val="none" w:sz="0" w:space="0" w:color="auto"/>
            <w:right w:val="none" w:sz="0" w:space="0" w:color="auto"/>
          </w:divBdr>
        </w:div>
        <w:div w:id="1356078034">
          <w:marLeft w:val="360"/>
          <w:marRight w:val="0"/>
          <w:marTop w:val="200"/>
          <w:marBottom w:val="0"/>
          <w:divBdr>
            <w:top w:val="none" w:sz="0" w:space="0" w:color="auto"/>
            <w:left w:val="none" w:sz="0" w:space="0" w:color="auto"/>
            <w:bottom w:val="none" w:sz="0" w:space="0" w:color="auto"/>
            <w:right w:val="none" w:sz="0" w:space="0" w:color="auto"/>
          </w:divBdr>
        </w:div>
        <w:div w:id="392965806">
          <w:marLeft w:val="360"/>
          <w:marRight w:val="0"/>
          <w:marTop w:val="200"/>
          <w:marBottom w:val="0"/>
          <w:divBdr>
            <w:top w:val="none" w:sz="0" w:space="0" w:color="auto"/>
            <w:left w:val="none" w:sz="0" w:space="0" w:color="auto"/>
            <w:bottom w:val="none" w:sz="0" w:space="0" w:color="auto"/>
            <w:right w:val="none" w:sz="0" w:space="0" w:color="auto"/>
          </w:divBdr>
        </w:div>
        <w:div w:id="950093309">
          <w:marLeft w:val="1080"/>
          <w:marRight w:val="0"/>
          <w:marTop w:val="100"/>
          <w:marBottom w:val="0"/>
          <w:divBdr>
            <w:top w:val="none" w:sz="0" w:space="0" w:color="auto"/>
            <w:left w:val="none" w:sz="0" w:space="0" w:color="auto"/>
            <w:bottom w:val="none" w:sz="0" w:space="0" w:color="auto"/>
            <w:right w:val="none" w:sz="0" w:space="0" w:color="auto"/>
          </w:divBdr>
        </w:div>
        <w:div w:id="1375933696">
          <w:marLeft w:val="1080"/>
          <w:marRight w:val="0"/>
          <w:marTop w:val="100"/>
          <w:marBottom w:val="0"/>
          <w:divBdr>
            <w:top w:val="none" w:sz="0" w:space="0" w:color="auto"/>
            <w:left w:val="none" w:sz="0" w:space="0" w:color="auto"/>
            <w:bottom w:val="none" w:sz="0" w:space="0" w:color="auto"/>
            <w:right w:val="none" w:sz="0" w:space="0" w:color="auto"/>
          </w:divBdr>
        </w:div>
        <w:div w:id="1168712136">
          <w:marLeft w:val="1080"/>
          <w:marRight w:val="0"/>
          <w:marTop w:val="100"/>
          <w:marBottom w:val="0"/>
          <w:divBdr>
            <w:top w:val="none" w:sz="0" w:space="0" w:color="auto"/>
            <w:left w:val="none" w:sz="0" w:space="0" w:color="auto"/>
            <w:bottom w:val="none" w:sz="0" w:space="0" w:color="auto"/>
            <w:right w:val="none" w:sz="0" w:space="0" w:color="auto"/>
          </w:divBdr>
        </w:div>
        <w:div w:id="1940526479">
          <w:marLeft w:val="1080"/>
          <w:marRight w:val="0"/>
          <w:marTop w:val="100"/>
          <w:marBottom w:val="0"/>
          <w:divBdr>
            <w:top w:val="none" w:sz="0" w:space="0" w:color="auto"/>
            <w:left w:val="none" w:sz="0" w:space="0" w:color="auto"/>
            <w:bottom w:val="none" w:sz="0" w:space="0" w:color="auto"/>
            <w:right w:val="none" w:sz="0" w:space="0" w:color="auto"/>
          </w:divBdr>
        </w:div>
      </w:divsChild>
    </w:div>
    <w:div w:id="649751147">
      <w:bodyDiv w:val="1"/>
      <w:marLeft w:val="0"/>
      <w:marRight w:val="0"/>
      <w:marTop w:val="0"/>
      <w:marBottom w:val="0"/>
      <w:divBdr>
        <w:top w:val="none" w:sz="0" w:space="0" w:color="auto"/>
        <w:left w:val="none" w:sz="0" w:space="0" w:color="auto"/>
        <w:bottom w:val="none" w:sz="0" w:space="0" w:color="auto"/>
        <w:right w:val="none" w:sz="0" w:space="0" w:color="auto"/>
      </w:divBdr>
    </w:div>
    <w:div w:id="781455364">
      <w:bodyDiv w:val="1"/>
      <w:marLeft w:val="0"/>
      <w:marRight w:val="0"/>
      <w:marTop w:val="0"/>
      <w:marBottom w:val="0"/>
      <w:divBdr>
        <w:top w:val="none" w:sz="0" w:space="0" w:color="auto"/>
        <w:left w:val="none" w:sz="0" w:space="0" w:color="auto"/>
        <w:bottom w:val="none" w:sz="0" w:space="0" w:color="auto"/>
        <w:right w:val="none" w:sz="0" w:space="0" w:color="auto"/>
      </w:divBdr>
      <w:divsChild>
        <w:div w:id="1463765159">
          <w:marLeft w:val="0"/>
          <w:marRight w:val="0"/>
          <w:marTop w:val="0"/>
          <w:marBottom w:val="0"/>
          <w:divBdr>
            <w:top w:val="none" w:sz="0" w:space="0" w:color="auto"/>
            <w:left w:val="none" w:sz="0" w:space="0" w:color="auto"/>
            <w:bottom w:val="none" w:sz="0" w:space="0" w:color="auto"/>
            <w:right w:val="none" w:sz="0" w:space="0" w:color="auto"/>
          </w:divBdr>
        </w:div>
      </w:divsChild>
    </w:div>
    <w:div w:id="984043756">
      <w:bodyDiv w:val="1"/>
      <w:marLeft w:val="0"/>
      <w:marRight w:val="0"/>
      <w:marTop w:val="0"/>
      <w:marBottom w:val="0"/>
      <w:divBdr>
        <w:top w:val="none" w:sz="0" w:space="0" w:color="auto"/>
        <w:left w:val="none" w:sz="0" w:space="0" w:color="auto"/>
        <w:bottom w:val="none" w:sz="0" w:space="0" w:color="auto"/>
        <w:right w:val="none" w:sz="0" w:space="0" w:color="auto"/>
      </w:divBdr>
      <w:divsChild>
        <w:div w:id="2058238896">
          <w:marLeft w:val="0"/>
          <w:marRight w:val="0"/>
          <w:marTop w:val="225"/>
          <w:marBottom w:val="0"/>
          <w:divBdr>
            <w:top w:val="none" w:sz="0" w:space="0" w:color="auto"/>
            <w:left w:val="none" w:sz="0" w:space="0" w:color="auto"/>
            <w:bottom w:val="none" w:sz="0" w:space="0" w:color="auto"/>
            <w:right w:val="none" w:sz="0" w:space="0" w:color="auto"/>
          </w:divBdr>
        </w:div>
        <w:div w:id="1984918990">
          <w:marLeft w:val="0"/>
          <w:marRight w:val="0"/>
          <w:marTop w:val="225"/>
          <w:marBottom w:val="0"/>
          <w:divBdr>
            <w:top w:val="none" w:sz="0" w:space="0" w:color="auto"/>
            <w:left w:val="none" w:sz="0" w:space="0" w:color="auto"/>
            <w:bottom w:val="none" w:sz="0" w:space="0" w:color="auto"/>
            <w:right w:val="none" w:sz="0" w:space="0" w:color="auto"/>
          </w:divBdr>
        </w:div>
        <w:div w:id="2133399716">
          <w:marLeft w:val="0"/>
          <w:marRight w:val="0"/>
          <w:marTop w:val="225"/>
          <w:marBottom w:val="0"/>
          <w:divBdr>
            <w:top w:val="none" w:sz="0" w:space="0" w:color="auto"/>
            <w:left w:val="none" w:sz="0" w:space="0" w:color="auto"/>
            <w:bottom w:val="none" w:sz="0" w:space="0" w:color="auto"/>
            <w:right w:val="none" w:sz="0" w:space="0" w:color="auto"/>
          </w:divBdr>
        </w:div>
        <w:div w:id="1373307031">
          <w:marLeft w:val="0"/>
          <w:marRight w:val="0"/>
          <w:marTop w:val="225"/>
          <w:marBottom w:val="0"/>
          <w:divBdr>
            <w:top w:val="none" w:sz="0" w:space="0" w:color="auto"/>
            <w:left w:val="none" w:sz="0" w:space="0" w:color="auto"/>
            <w:bottom w:val="none" w:sz="0" w:space="0" w:color="auto"/>
            <w:right w:val="none" w:sz="0" w:space="0" w:color="auto"/>
          </w:divBdr>
        </w:div>
        <w:div w:id="491676675">
          <w:marLeft w:val="0"/>
          <w:marRight w:val="0"/>
          <w:marTop w:val="225"/>
          <w:marBottom w:val="0"/>
          <w:divBdr>
            <w:top w:val="none" w:sz="0" w:space="0" w:color="auto"/>
            <w:left w:val="none" w:sz="0" w:space="0" w:color="auto"/>
            <w:bottom w:val="none" w:sz="0" w:space="0" w:color="auto"/>
            <w:right w:val="none" w:sz="0" w:space="0" w:color="auto"/>
          </w:divBdr>
        </w:div>
        <w:div w:id="2037194582">
          <w:marLeft w:val="0"/>
          <w:marRight w:val="0"/>
          <w:marTop w:val="225"/>
          <w:marBottom w:val="0"/>
          <w:divBdr>
            <w:top w:val="none" w:sz="0" w:space="0" w:color="auto"/>
            <w:left w:val="none" w:sz="0" w:space="0" w:color="auto"/>
            <w:bottom w:val="none" w:sz="0" w:space="0" w:color="auto"/>
            <w:right w:val="none" w:sz="0" w:space="0" w:color="auto"/>
          </w:divBdr>
        </w:div>
        <w:div w:id="884368402">
          <w:marLeft w:val="0"/>
          <w:marRight w:val="0"/>
          <w:marTop w:val="225"/>
          <w:marBottom w:val="0"/>
          <w:divBdr>
            <w:top w:val="none" w:sz="0" w:space="0" w:color="auto"/>
            <w:left w:val="none" w:sz="0" w:space="0" w:color="auto"/>
            <w:bottom w:val="none" w:sz="0" w:space="0" w:color="auto"/>
            <w:right w:val="none" w:sz="0" w:space="0" w:color="auto"/>
          </w:divBdr>
        </w:div>
      </w:divsChild>
    </w:div>
    <w:div w:id="1274824773">
      <w:bodyDiv w:val="1"/>
      <w:marLeft w:val="0"/>
      <w:marRight w:val="0"/>
      <w:marTop w:val="0"/>
      <w:marBottom w:val="0"/>
      <w:divBdr>
        <w:top w:val="none" w:sz="0" w:space="0" w:color="auto"/>
        <w:left w:val="none" w:sz="0" w:space="0" w:color="auto"/>
        <w:bottom w:val="none" w:sz="0" w:space="0" w:color="auto"/>
        <w:right w:val="none" w:sz="0" w:space="0" w:color="auto"/>
      </w:divBdr>
    </w:div>
    <w:div w:id="1411584338">
      <w:bodyDiv w:val="1"/>
      <w:marLeft w:val="0"/>
      <w:marRight w:val="0"/>
      <w:marTop w:val="0"/>
      <w:marBottom w:val="0"/>
      <w:divBdr>
        <w:top w:val="none" w:sz="0" w:space="0" w:color="auto"/>
        <w:left w:val="none" w:sz="0" w:space="0" w:color="auto"/>
        <w:bottom w:val="none" w:sz="0" w:space="0" w:color="auto"/>
        <w:right w:val="none" w:sz="0" w:space="0" w:color="auto"/>
      </w:divBdr>
    </w:div>
    <w:div w:id="1885093171">
      <w:bodyDiv w:val="1"/>
      <w:marLeft w:val="0"/>
      <w:marRight w:val="0"/>
      <w:marTop w:val="0"/>
      <w:marBottom w:val="0"/>
      <w:divBdr>
        <w:top w:val="none" w:sz="0" w:space="0" w:color="auto"/>
        <w:left w:val="none" w:sz="0" w:space="0" w:color="auto"/>
        <w:bottom w:val="none" w:sz="0" w:space="0" w:color="auto"/>
        <w:right w:val="none" w:sz="0" w:space="0" w:color="auto"/>
      </w:divBdr>
    </w:div>
    <w:div w:id="2063476841">
      <w:bodyDiv w:val="1"/>
      <w:marLeft w:val="0"/>
      <w:marRight w:val="0"/>
      <w:marTop w:val="0"/>
      <w:marBottom w:val="0"/>
      <w:divBdr>
        <w:top w:val="none" w:sz="0" w:space="0" w:color="auto"/>
        <w:left w:val="none" w:sz="0" w:space="0" w:color="auto"/>
        <w:bottom w:val="none" w:sz="0" w:space="0" w:color="auto"/>
        <w:right w:val="none" w:sz="0" w:space="0" w:color="auto"/>
      </w:divBdr>
    </w:div>
    <w:div w:id="213078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gov/sites/dolgov/files/ebsa/laws-and-regulations/laws/no-surprises-act/gag-clause-prohibition-compliance-attestation-annual-submission-instructions-2024.pdf" TargetMode="External"/><Relationship Id="rId13" Type="http://schemas.openxmlformats.org/officeDocument/2006/relationships/hyperlink" Target="https://www.fema.gov/disaster/4828/designated-areas" TargetMode="External"/><Relationship Id="rId18" Type="http://schemas.openxmlformats.org/officeDocument/2006/relationships/hyperlink" Target="https://www.fema.gov/disaster/4832/designated-areas" TargetMode="External"/><Relationship Id="rId3" Type="http://schemas.openxmlformats.org/officeDocument/2006/relationships/settings" Target="settings.xml"/><Relationship Id="rId21" Type="http://schemas.openxmlformats.org/officeDocument/2006/relationships/hyperlink" Target="https://www.dol.gov/sites/dolgov/files/ebsa/about-ebsa/our-activities/resource-center/faqs/helene-and-milton-faqs-for-participants-and-beneficiaries.pdf" TargetMode="External"/><Relationship Id="rId7" Type="http://schemas.openxmlformats.org/officeDocument/2006/relationships/hyperlink" Target="https://www.cms.gov/cciio/programs-and-initiatives/other-insurance-protections/gag-clause-prohibition-compliance" TargetMode="External"/><Relationship Id="rId12" Type="http://schemas.openxmlformats.org/officeDocument/2006/relationships/hyperlink" Target="https://www.cms.gov/files/document/hurricane-helene-disaster-relief-bulletin.pdf" TargetMode="External"/><Relationship Id="rId17" Type="http://schemas.openxmlformats.org/officeDocument/2006/relationships/hyperlink" Target="https://www.fema.gov/disaster/4831/designated-areas" TargetMode="External"/><Relationship Id="rId2" Type="http://schemas.openxmlformats.org/officeDocument/2006/relationships/styles" Target="styles.xml"/><Relationship Id="rId16" Type="http://schemas.openxmlformats.org/officeDocument/2006/relationships/hyperlink" Target="https://www.fema.gov/disaster/4827/designated-areas" TargetMode="External"/><Relationship Id="rId20" Type="http://schemas.openxmlformats.org/officeDocument/2006/relationships/hyperlink" Target="https://www.irs.gov/newsroom/tax-relief-in-disaster-situations" TargetMode="External"/><Relationship Id="rId1" Type="http://schemas.openxmlformats.org/officeDocument/2006/relationships/numbering" Target="numbering.xml"/><Relationship Id="rId6" Type="http://schemas.openxmlformats.org/officeDocument/2006/relationships/hyperlink" Target="https://hios.cms.gov/HIOS-GCPCA-UI" TargetMode="External"/><Relationship Id="rId11" Type="http://schemas.openxmlformats.org/officeDocument/2006/relationships/hyperlink" Target="https://federalregister.gov/d/2024-26014" TargetMode="External"/><Relationship Id="rId5" Type="http://schemas.openxmlformats.org/officeDocument/2006/relationships/hyperlink" Target="https://www.cms.gov/files/document/aca-part-57.pdf" TargetMode="External"/><Relationship Id="rId15" Type="http://schemas.openxmlformats.org/officeDocument/2006/relationships/hyperlink" Target="https://www.fema.gov/disaster/4829/designated-areas" TargetMode="External"/><Relationship Id="rId23" Type="http://schemas.openxmlformats.org/officeDocument/2006/relationships/theme" Target="theme/theme1.xml"/><Relationship Id="rId10" Type="http://schemas.openxmlformats.org/officeDocument/2006/relationships/hyperlink" Target="https://www.dol.gov/sites/dolgov/files/EBSA/employers-and-advisers/plan-administration-and-compliance/disaster-relief/disaster-relief-notice202401.pdf" TargetMode="External"/><Relationship Id="rId19" Type="http://schemas.openxmlformats.org/officeDocument/2006/relationships/hyperlink" Target="https://www.fema.gov/disaster/4834/designated-areas" TargetMode="External"/><Relationship Id="rId4" Type="http://schemas.openxmlformats.org/officeDocument/2006/relationships/webSettings" Target="webSettings.xml"/><Relationship Id="rId9" Type="http://schemas.openxmlformats.org/officeDocument/2006/relationships/hyperlink" Target="https://www.govinfo.gov/content/pkg/FR-2024-04-03/pdf/2024-06551.pdf" TargetMode="External"/><Relationship Id="rId14" Type="http://schemas.openxmlformats.org/officeDocument/2006/relationships/hyperlink" Target="https://www.fema.gov/disaster/4830/designated-area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513</TotalTime>
  <Pages>6</Pages>
  <Words>2453</Words>
  <Characters>13988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Borders</dc:creator>
  <cp:keywords/>
  <dc:description/>
  <cp:lastModifiedBy>Holly Soule</cp:lastModifiedBy>
  <cp:revision>6</cp:revision>
  <dcterms:created xsi:type="dcterms:W3CDTF">2024-11-18T19:15:00Z</dcterms:created>
  <dcterms:modified xsi:type="dcterms:W3CDTF">2024-11-26T17:32:00Z</dcterms:modified>
</cp:coreProperties>
</file>