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4CDE" w14:textId="3FA03F47" w:rsidR="001F423C" w:rsidRPr="00315692" w:rsidRDefault="00CD2B20" w:rsidP="00621331">
      <w:pPr>
        <w:pStyle w:val="Title"/>
        <w:spacing w:after="0" w:line="240" w:lineRule="auto"/>
        <w:jc w:val="center"/>
        <w:rPr>
          <w:rFonts w:ascii="Lato Light" w:hAnsi="Lato Light" w:cs="Calibri"/>
          <w:b/>
          <w:bCs/>
          <w:sz w:val="22"/>
          <w:szCs w:val="22"/>
        </w:rPr>
      </w:pPr>
      <w:r>
        <w:rPr>
          <w:rFonts w:ascii="Lato Light" w:hAnsi="Lato Light" w:cs="Calibri"/>
          <w:b/>
          <w:bCs/>
          <w:sz w:val="22"/>
          <w:szCs w:val="22"/>
        </w:rPr>
        <w:t>NOTICES FOR OPEN ENROLLMENT AND NEW HIRES</w:t>
      </w:r>
    </w:p>
    <w:p w14:paraId="2B7E2450" w14:textId="77777777" w:rsidR="001F423C" w:rsidRPr="00315692" w:rsidRDefault="001F423C" w:rsidP="00621331">
      <w:pPr>
        <w:pStyle w:val="Title"/>
        <w:spacing w:after="0" w:line="240" w:lineRule="auto"/>
        <w:rPr>
          <w:rFonts w:ascii="Lato Light" w:hAnsi="Lato Light" w:cs="Calibri"/>
          <w:b/>
          <w:bCs/>
          <w:sz w:val="22"/>
          <w:szCs w:val="22"/>
        </w:rPr>
      </w:pPr>
    </w:p>
    <w:p w14:paraId="6CA5289B" w14:textId="3143D1CB" w:rsidR="00C9480E" w:rsidRPr="00C9480E" w:rsidRDefault="00983EDC" w:rsidP="00C9480E">
      <w:pPr>
        <w:spacing w:line="240" w:lineRule="auto"/>
        <w:rPr>
          <w:rFonts w:ascii="Lato Light" w:hAnsi="Lato Light" w:cstheme="majorHAnsi"/>
        </w:rPr>
      </w:pPr>
      <w:r w:rsidRPr="00C9480E">
        <w:rPr>
          <w:rFonts w:ascii="Lato Light" w:hAnsi="Lato Light" w:cstheme="majorHAnsi"/>
          <w:b/>
          <w:bCs/>
        </w:rPr>
        <w:t>Overview</w:t>
      </w:r>
      <w:r>
        <w:rPr>
          <w:rFonts w:ascii="Lato Light" w:hAnsi="Lato Light" w:cstheme="majorHAnsi"/>
        </w:rPr>
        <w:t>:</w:t>
      </w:r>
      <w:r w:rsidR="00D97F35">
        <w:rPr>
          <w:rFonts w:ascii="Lato Light" w:hAnsi="Lato Light" w:cstheme="majorHAnsi"/>
        </w:rPr>
        <w:t xml:space="preserve">  </w:t>
      </w:r>
      <w:r w:rsidR="00CD2B20" w:rsidRPr="00CD2B20">
        <w:rPr>
          <w:rFonts w:ascii="Lato Light" w:hAnsi="Lato Light" w:cstheme="majorHAnsi"/>
        </w:rPr>
        <w:t xml:space="preserve">An employer should include certain required notices in the </w:t>
      </w:r>
      <w:r w:rsidR="0017297A">
        <w:rPr>
          <w:rFonts w:ascii="Lato Light" w:hAnsi="Lato Light" w:cstheme="majorHAnsi"/>
        </w:rPr>
        <w:t xml:space="preserve">employee benefits </w:t>
      </w:r>
      <w:r w:rsidR="00CD2B20" w:rsidRPr="00CD2B20">
        <w:rPr>
          <w:rFonts w:ascii="Lato Light" w:hAnsi="Lato Light" w:cstheme="majorHAnsi"/>
        </w:rPr>
        <w:t xml:space="preserve">enrollment guide or as a supplement to the </w:t>
      </w:r>
      <w:r w:rsidR="0017297A">
        <w:rPr>
          <w:rFonts w:ascii="Lato Light" w:hAnsi="Lato Light" w:cstheme="majorHAnsi"/>
        </w:rPr>
        <w:t xml:space="preserve">benefits </w:t>
      </w:r>
      <w:r w:rsidR="00CD2B20" w:rsidRPr="00CD2B20">
        <w:rPr>
          <w:rFonts w:ascii="Lato Light" w:hAnsi="Lato Light" w:cstheme="majorHAnsi"/>
        </w:rPr>
        <w:t>enrollment summary information (i.e., a legal notice packet, whether paper or electronic). Notices appropriate for a legal notice packet include disclosures required ‘prior to enrollment’ and/or ‘annually.’</w:t>
      </w:r>
      <w:r w:rsidR="0006201D">
        <w:rPr>
          <w:rFonts w:ascii="Lato Light" w:hAnsi="Lato Light" w:cstheme="majorHAnsi"/>
        </w:rPr>
        <w:t xml:space="preserve"> </w:t>
      </w:r>
    </w:p>
    <w:p w14:paraId="632FBF1C" w14:textId="77777777" w:rsidR="00315692" w:rsidRDefault="00315692" w:rsidP="00621331">
      <w:pPr>
        <w:spacing w:line="240" w:lineRule="auto"/>
        <w:rPr>
          <w:rFonts w:ascii="Lato Light" w:hAnsi="Lato Light" w:cstheme="majorHAnsi"/>
          <w:b/>
          <w:bCs/>
        </w:rPr>
      </w:pPr>
    </w:p>
    <w:p w14:paraId="7961EE63" w14:textId="3D82355D" w:rsidR="00C9480E" w:rsidRDefault="001F423C" w:rsidP="002E0606">
      <w:pPr>
        <w:spacing w:line="240" w:lineRule="auto"/>
        <w:rPr>
          <w:rFonts w:ascii="Lato Light" w:hAnsi="Lato Light" w:cstheme="majorHAnsi"/>
        </w:rPr>
      </w:pPr>
      <w:r w:rsidRPr="00315692">
        <w:rPr>
          <w:rFonts w:ascii="Lato Light" w:hAnsi="Lato Light" w:cstheme="majorHAnsi"/>
          <w:b/>
          <w:bCs/>
        </w:rPr>
        <w:t>Applies to:</w:t>
      </w:r>
      <w:r w:rsidR="00680EC9">
        <w:rPr>
          <w:rFonts w:ascii="Lato Light" w:hAnsi="Lato Light" w:cstheme="majorHAnsi"/>
          <w:b/>
          <w:bCs/>
        </w:rPr>
        <w:t xml:space="preserve">  </w:t>
      </w:r>
    </w:p>
    <w:p w14:paraId="30D586DE" w14:textId="77777777" w:rsidR="00CD2B20" w:rsidRPr="00CD2B20" w:rsidRDefault="00CD2B20" w:rsidP="00CD2B20">
      <w:pPr>
        <w:numPr>
          <w:ilvl w:val="0"/>
          <w:numId w:val="16"/>
        </w:numPr>
        <w:spacing w:line="240" w:lineRule="auto"/>
        <w:rPr>
          <w:rFonts w:ascii="Lato Light" w:hAnsi="Lato Light" w:cstheme="majorHAnsi"/>
        </w:rPr>
      </w:pPr>
      <w:r w:rsidRPr="00CD2B20">
        <w:rPr>
          <w:rFonts w:ascii="Lato Light" w:hAnsi="Lato Light" w:cstheme="majorHAnsi"/>
        </w:rPr>
        <w:t>Large employers with fully-insured and self-funded health plans</w:t>
      </w:r>
    </w:p>
    <w:p w14:paraId="632F8386" w14:textId="0FBB8631" w:rsidR="00CD2B20" w:rsidRPr="00CD2B20" w:rsidRDefault="00CD2B20" w:rsidP="002E0606">
      <w:pPr>
        <w:numPr>
          <w:ilvl w:val="0"/>
          <w:numId w:val="16"/>
        </w:numPr>
        <w:spacing w:line="240" w:lineRule="auto"/>
        <w:rPr>
          <w:rFonts w:ascii="Lato Light" w:hAnsi="Lato Light" w:cstheme="majorHAnsi"/>
        </w:rPr>
      </w:pPr>
      <w:r w:rsidRPr="00CD2B20">
        <w:rPr>
          <w:rFonts w:ascii="Lato Light" w:hAnsi="Lato Light" w:cstheme="majorHAnsi"/>
        </w:rPr>
        <w:t>Small employers with fully-insured and level-funded health plans</w:t>
      </w:r>
    </w:p>
    <w:p w14:paraId="14561E34" w14:textId="77777777" w:rsidR="001F423C" w:rsidRPr="00315692" w:rsidRDefault="001F423C" w:rsidP="00621331">
      <w:pPr>
        <w:spacing w:line="240" w:lineRule="auto"/>
        <w:rPr>
          <w:rFonts w:ascii="Lato Light" w:hAnsi="Lato Light" w:cstheme="majorHAnsi"/>
          <w:b/>
          <w:bCs/>
        </w:rPr>
      </w:pPr>
    </w:p>
    <w:p w14:paraId="0000000F" w14:textId="33E7FFED" w:rsidR="0001489F" w:rsidRPr="00315692" w:rsidRDefault="001F423C" w:rsidP="00621331">
      <w:pPr>
        <w:spacing w:line="240" w:lineRule="auto"/>
        <w:rPr>
          <w:rFonts w:ascii="Lato Light" w:hAnsi="Lato Light" w:cstheme="majorHAnsi"/>
          <w:b/>
          <w:bCs/>
        </w:rPr>
      </w:pPr>
      <w:r w:rsidRPr="00315692">
        <w:rPr>
          <w:rFonts w:ascii="Lato Light" w:hAnsi="Lato Light" w:cstheme="majorHAnsi"/>
          <w:b/>
          <w:bCs/>
        </w:rPr>
        <w:t>Go Deeper</w:t>
      </w:r>
      <w:r w:rsidR="005B04D9" w:rsidRPr="00315692">
        <w:rPr>
          <w:rFonts w:ascii="Lato Light" w:hAnsi="Lato Light" w:cstheme="majorHAnsi"/>
          <w:b/>
          <w:bCs/>
        </w:rPr>
        <w:t xml:space="preserve">: </w:t>
      </w:r>
    </w:p>
    <w:p w14:paraId="554EE934" w14:textId="77777777" w:rsidR="0006201D" w:rsidRDefault="0006201D" w:rsidP="00621331">
      <w:pPr>
        <w:spacing w:line="240" w:lineRule="auto"/>
        <w:rPr>
          <w:rFonts w:ascii="Lato Light" w:hAnsi="Lato Light" w:cstheme="majorHAnsi"/>
        </w:rPr>
      </w:pPr>
    </w:p>
    <w:p w14:paraId="15A9E03B" w14:textId="048BDE46" w:rsidR="0006201D" w:rsidRDefault="003D1808" w:rsidP="00621331">
      <w:pPr>
        <w:spacing w:line="240" w:lineRule="auto"/>
        <w:rPr>
          <w:rFonts w:ascii="Lato Light" w:hAnsi="Lato Light" w:cstheme="majorHAnsi"/>
        </w:rPr>
      </w:pPr>
      <w:r>
        <w:rPr>
          <w:rFonts w:ascii="Lato Light" w:hAnsi="Lato Light" w:cstheme="majorHAnsi"/>
        </w:rPr>
        <w:t xml:space="preserve">Employers are required to provide certain notices to employees and plan participants at specific intervals, generally prior to enrollment, which encompasses open enrollment and new hire enrollment, or at least annually. </w:t>
      </w:r>
    </w:p>
    <w:p w14:paraId="477374C7" w14:textId="77777777" w:rsidR="0006201D" w:rsidRDefault="0006201D" w:rsidP="0006201D">
      <w:pPr>
        <w:spacing w:line="240" w:lineRule="auto"/>
        <w:rPr>
          <w:rFonts w:ascii="Lato Light" w:hAnsi="Lato Light" w:cstheme="majorHAnsi"/>
        </w:rPr>
      </w:pPr>
    </w:p>
    <w:p w14:paraId="6AD0CB6A" w14:textId="7B8F0CDC" w:rsidR="00AD3EA2" w:rsidRDefault="00CB6A8D" w:rsidP="00AD3EA2">
      <w:pPr>
        <w:spacing w:line="240" w:lineRule="auto"/>
        <w:rPr>
          <w:rFonts w:ascii="Lato Light" w:hAnsi="Lato Light" w:cstheme="majorHAnsi"/>
          <w:lang w:val="en-US"/>
        </w:rPr>
      </w:pPr>
      <w:r>
        <w:rPr>
          <w:rFonts w:ascii="Lato Light" w:hAnsi="Lato Light" w:cstheme="majorHAnsi"/>
          <w:lang w:val="en-US"/>
        </w:rPr>
        <w:t>Following are notices</w:t>
      </w:r>
      <w:r w:rsidR="00AD3EA2" w:rsidRPr="00AD3EA2">
        <w:rPr>
          <w:rFonts w:ascii="Lato Light" w:hAnsi="Lato Light" w:cstheme="majorHAnsi"/>
          <w:lang w:val="en-US"/>
        </w:rPr>
        <w:t xml:space="preserve"> an employer plan sponsor should include in the open enrollment</w:t>
      </w:r>
      <w:r w:rsidR="00AD3EA2">
        <w:rPr>
          <w:rFonts w:ascii="Lato Light" w:hAnsi="Lato Light" w:cstheme="majorHAnsi"/>
          <w:lang w:val="en-US"/>
        </w:rPr>
        <w:t xml:space="preserve"> or new hire employee benefits</w:t>
      </w:r>
      <w:r w:rsidR="00AD3EA2" w:rsidRPr="00AD3EA2">
        <w:rPr>
          <w:rFonts w:ascii="Lato Light" w:hAnsi="Lato Light" w:cstheme="majorHAnsi"/>
          <w:lang w:val="en-US"/>
        </w:rPr>
        <w:t xml:space="preserve"> guide</w:t>
      </w:r>
      <w:r w:rsidR="00AD3EA2">
        <w:rPr>
          <w:rFonts w:ascii="Lato Light" w:hAnsi="Lato Light" w:cstheme="majorHAnsi"/>
          <w:lang w:val="en-US"/>
        </w:rPr>
        <w:t xml:space="preserve"> or summary information provided to employees</w:t>
      </w:r>
      <w:r w:rsidR="003D1808">
        <w:rPr>
          <w:rFonts w:ascii="Lato Light" w:hAnsi="Lato Light" w:cstheme="majorHAnsi"/>
          <w:lang w:val="en-US"/>
        </w:rPr>
        <w:t>. Model notices are provided by the Departments and updated periodically</w:t>
      </w:r>
      <w:r w:rsidR="00AD3EA2" w:rsidRPr="00AD3EA2">
        <w:rPr>
          <w:rFonts w:ascii="Lato Light" w:hAnsi="Lato Light" w:cstheme="majorHAnsi"/>
          <w:lang w:val="en-US"/>
        </w:rPr>
        <w:t>:</w:t>
      </w:r>
    </w:p>
    <w:p w14:paraId="6C862190" w14:textId="77777777" w:rsidR="00AD3EA2" w:rsidRPr="00AD3EA2" w:rsidRDefault="00AD3EA2" w:rsidP="00AD3EA2">
      <w:pPr>
        <w:spacing w:line="240" w:lineRule="auto"/>
        <w:rPr>
          <w:rFonts w:ascii="Lato Light" w:hAnsi="Lato Light" w:cstheme="majorHAnsi"/>
          <w:lang w:val="en-US"/>
        </w:rPr>
      </w:pPr>
    </w:p>
    <w:p w14:paraId="6718A27F" w14:textId="77777777" w:rsidR="00AD3EA2" w:rsidRPr="00AD3EA2" w:rsidRDefault="00AD3EA2" w:rsidP="00AD3EA2">
      <w:pPr>
        <w:numPr>
          <w:ilvl w:val="0"/>
          <w:numId w:val="17"/>
        </w:numPr>
        <w:spacing w:line="240" w:lineRule="auto"/>
        <w:rPr>
          <w:rFonts w:ascii="Lato Light" w:hAnsi="Lato Light" w:cstheme="majorHAnsi"/>
          <w:lang w:val="en-US"/>
        </w:rPr>
      </w:pPr>
      <w:r w:rsidRPr="00AD3EA2">
        <w:rPr>
          <w:rFonts w:ascii="Lato Light" w:hAnsi="Lato Light" w:cstheme="majorHAnsi"/>
          <w:lang w:val="en-US"/>
        </w:rPr>
        <w:t>Summary of Benefits and Coverage (SBC)</w:t>
      </w:r>
    </w:p>
    <w:p w14:paraId="371EC378" w14:textId="77777777" w:rsidR="00AD3EA2" w:rsidRPr="00AD3EA2" w:rsidRDefault="00AD3EA2" w:rsidP="00AD3EA2">
      <w:pPr>
        <w:numPr>
          <w:ilvl w:val="0"/>
          <w:numId w:val="17"/>
        </w:numPr>
        <w:spacing w:line="240" w:lineRule="auto"/>
        <w:rPr>
          <w:rFonts w:ascii="Lato Light" w:hAnsi="Lato Light" w:cstheme="majorHAnsi"/>
          <w:lang w:val="en-US"/>
        </w:rPr>
      </w:pPr>
      <w:r w:rsidRPr="00AD3EA2">
        <w:rPr>
          <w:rFonts w:ascii="Lato Light" w:hAnsi="Lato Light" w:cstheme="majorHAnsi"/>
          <w:lang w:val="en-US"/>
        </w:rPr>
        <w:t>Employer CHIP Notice</w:t>
      </w:r>
    </w:p>
    <w:p w14:paraId="323DAA90" w14:textId="77777777" w:rsidR="00AD3EA2" w:rsidRPr="00AD3EA2" w:rsidRDefault="00AD3EA2" w:rsidP="00AD3EA2">
      <w:pPr>
        <w:numPr>
          <w:ilvl w:val="0"/>
          <w:numId w:val="17"/>
        </w:numPr>
        <w:spacing w:line="240" w:lineRule="auto"/>
        <w:rPr>
          <w:rFonts w:ascii="Lato Light" w:hAnsi="Lato Light" w:cstheme="majorHAnsi"/>
          <w:lang w:val="en-US"/>
        </w:rPr>
      </w:pPr>
      <w:r w:rsidRPr="00AD3EA2">
        <w:rPr>
          <w:rFonts w:ascii="Lato Light" w:hAnsi="Lato Light" w:cstheme="majorHAnsi"/>
          <w:lang w:val="en-US"/>
        </w:rPr>
        <w:t>Women’s Health and Cancer Rights Act (WHCRA) Annual Notice</w:t>
      </w:r>
    </w:p>
    <w:p w14:paraId="02C5133C" w14:textId="77777777" w:rsidR="00AD3EA2" w:rsidRPr="00AD3EA2" w:rsidRDefault="00AD3EA2" w:rsidP="00AD3EA2">
      <w:pPr>
        <w:numPr>
          <w:ilvl w:val="0"/>
          <w:numId w:val="17"/>
        </w:numPr>
        <w:spacing w:line="240" w:lineRule="auto"/>
        <w:rPr>
          <w:rFonts w:ascii="Lato Light" w:hAnsi="Lato Light" w:cstheme="majorHAnsi"/>
          <w:lang w:val="en-US"/>
        </w:rPr>
      </w:pPr>
      <w:r w:rsidRPr="00AD3EA2">
        <w:rPr>
          <w:rFonts w:ascii="Lato Light" w:hAnsi="Lato Light" w:cstheme="majorHAnsi"/>
          <w:lang w:val="en-US"/>
        </w:rPr>
        <w:t>Wellness Program Notices (under HIPAA, GINA or the ADA, if applicable)</w:t>
      </w:r>
    </w:p>
    <w:p w14:paraId="5D7F8BC2" w14:textId="5B4A1418" w:rsidR="00AD3EA2" w:rsidRPr="00AD3EA2" w:rsidRDefault="00AD3EA2" w:rsidP="00AD3EA2">
      <w:pPr>
        <w:numPr>
          <w:ilvl w:val="0"/>
          <w:numId w:val="17"/>
        </w:numPr>
        <w:spacing w:line="240" w:lineRule="auto"/>
        <w:rPr>
          <w:rFonts w:ascii="Lato Light" w:hAnsi="Lato Light" w:cstheme="majorHAnsi"/>
          <w:lang w:val="en-US"/>
        </w:rPr>
      </w:pPr>
      <w:r w:rsidRPr="00AD3EA2">
        <w:rPr>
          <w:rFonts w:ascii="Lato Light" w:hAnsi="Lato Light" w:cstheme="majorHAnsi"/>
          <w:lang w:val="en-US"/>
        </w:rPr>
        <w:t>Medicare Part D Creditable or Non-</w:t>
      </w:r>
      <w:r w:rsidR="00CB6A8D">
        <w:rPr>
          <w:rFonts w:ascii="Lato Light" w:hAnsi="Lato Light" w:cstheme="majorHAnsi"/>
          <w:lang w:val="en-US"/>
        </w:rPr>
        <w:t>C</w:t>
      </w:r>
      <w:r w:rsidRPr="00AD3EA2">
        <w:rPr>
          <w:rFonts w:ascii="Lato Light" w:hAnsi="Lato Light" w:cstheme="majorHAnsi"/>
          <w:lang w:val="en-US"/>
        </w:rPr>
        <w:t>reditable Coverage Notice</w:t>
      </w:r>
      <w:r w:rsidR="00CB6A8D">
        <w:rPr>
          <w:rFonts w:ascii="Lato Light" w:hAnsi="Lato Light" w:cstheme="majorHAnsi"/>
          <w:lang w:val="en-US"/>
        </w:rPr>
        <w:t xml:space="preserve"> (</w:t>
      </w:r>
      <w:r w:rsidRPr="00AD3EA2">
        <w:rPr>
          <w:rFonts w:ascii="Lato Light" w:hAnsi="Lato Light" w:cstheme="majorHAnsi"/>
          <w:lang w:val="en-US"/>
        </w:rPr>
        <w:t>must be sent before 10/15, but should also be included in enrollment materials</w:t>
      </w:r>
      <w:r w:rsidR="00CB6A8D">
        <w:rPr>
          <w:rFonts w:ascii="Lato Light" w:hAnsi="Lato Light" w:cstheme="majorHAnsi"/>
          <w:lang w:val="en-US"/>
        </w:rPr>
        <w:t>)</w:t>
      </w:r>
    </w:p>
    <w:p w14:paraId="01217CB5" w14:textId="77777777" w:rsidR="00AD3EA2" w:rsidRPr="00AD3EA2" w:rsidRDefault="00AD3EA2" w:rsidP="00AD3EA2">
      <w:pPr>
        <w:numPr>
          <w:ilvl w:val="0"/>
          <w:numId w:val="17"/>
        </w:numPr>
        <w:spacing w:line="240" w:lineRule="auto"/>
        <w:rPr>
          <w:rFonts w:ascii="Lato Light" w:hAnsi="Lato Light" w:cstheme="majorHAnsi"/>
          <w:lang w:val="en-US"/>
        </w:rPr>
      </w:pPr>
      <w:r w:rsidRPr="00AD3EA2">
        <w:rPr>
          <w:rFonts w:ascii="Lato Light" w:hAnsi="Lato Light" w:cstheme="majorHAnsi"/>
          <w:lang w:val="en-US"/>
        </w:rPr>
        <w:t xml:space="preserve">Notice of HIPAA Special Enrollment Rights </w:t>
      </w:r>
    </w:p>
    <w:p w14:paraId="7CB9CD18" w14:textId="06BCCA04" w:rsidR="00AD3EA2" w:rsidRDefault="008646AA" w:rsidP="00AD3EA2">
      <w:pPr>
        <w:numPr>
          <w:ilvl w:val="0"/>
          <w:numId w:val="17"/>
        </w:numPr>
        <w:spacing w:line="240" w:lineRule="auto"/>
        <w:rPr>
          <w:rFonts w:ascii="Lato Light" w:hAnsi="Lato Light" w:cstheme="majorHAnsi"/>
          <w:lang w:val="en-US"/>
        </w:rPr>
      </w:pPr>
      <w:r>
        <w:rPr>
          <w:rFonts w:ascii="Lato Light" w:hAnsi="Lato Light" w:cstheme="majorHAnsi"/>
          <w:lang w:val="en-US"/>
        </w:rPr>
        <w:t xml:space="preserve">Marketplace Coverage </w:t>
      </w:r>
      <w:r w:rsidR="00AD3EA2" w:rsidRPr="00AD3EA2">
        <w:rPr>
          <w:rFonts w:ascii="Lato Light" w:hAnsi="Lato Light" w:cstheme="majorHAnsi"/>
          <w:lang w:val="en-US"/>
        </w:rPr>
        <w:t>Notice</w:t>
      </w:r>
      <w:r w:rsidR="00CB6A8D">
        <w:rPr>
          <w:rFonts w:ascii="Lato Light" w:hAnsi="Lato Light" w:cstheme="majorHAnsi"/>
          <w:lang w:val="en-US"/>
        </w:rPr>
        <w:t xml:space="preserve"> (also required </w:t>
      </w:r>
      <w:r w:rsidR="00AD3EA2" w:rsidRPr="00AD3EA2">
        <w:rPr>
          <w:rFonts w:ascii="Lato Light" w:hAnsi="Lato Light" w:cstheme="majorHAnsi"/>
          <w:lang w:val="en-US"/>
        </w:rPr>
        <w:t xml:space="preserve">within 14 days of hire, including full-time </w:t>
      </w:r>
      <w:r w:rsidR="00CB6A8D" w:rsidRPr="00CB6A8D">
        <w:rPr>
          <w:rFonts w:ascii="Lato Light" w:hAnsi="Lato Light" w:cstheme="majorHAnsi"/>
          <w:i/>
          <w:iCs/>
          <w:lang w:val="en-US"/>
        </w:rPr>
        <w:t>and</w:t>
      </w:r>
      <w:r w:rsidR="00AD3EA2" w:rsidRPr="00AD3EA2">
        <w:rPr>
          <w:rFonts w:ascii="Lato Light" w:hAnsi="Lato Light" w:cstheme="majorHAnsi"/>
          <w:lang w:val="en-US"/>
        </w:rPr>
        <w:t xml:space="preserve"> part-time employees</w:t>
      </w:r>
      <w:r w:rsidR="00CB6A8D">
        <w:rPr>
          <w:rFonts w:ascii="Lato Light" w:hAnsi="Lato Light" w:cstheme="majorHAnsi"/>
          <w:lang w:val="en-US"/>
        </w:rPr>
        <w:t>)</w:t>
      </w:r>
      <w:r w:rsidR="00AD3EA2" w:rsidRPr="00AD3EA2">
        <w:rPr>
          <w:rFonts w:ascii="Lato Light" w:hAnsi="Lato Light" w:cstheme="majorHAnsi"/>
          <w:lang w:val="en-US"/>
        </w:rPr>
        <w:t>.</w:t>
      </w:r>
    </w:p>
    <w:p w14:paraId="31C73A17" w14:textId="6F3D2C73" w:rsidR="008646AA" w:rsidRDefault="008646AA" w:rsidP="00AD3EA2">
      <w:pPr>
        <w:numPr>
          <w:ilvl w:val="0"/>
          <w:numId w:val="17"/>
        </w:numPr>
        <w:spacing w:line="240" w:lineRule="auto"/>
        <w:rPr>
          <w:rFonts w:ascii="Lato Light" w:hAnsi="Lato Light" w:cstheme="majorHAnsi"/>
          <w:lang w:val="en-US"/>
        </w:rPr>
      </w:pPr>
      <w:r>
        <w:rPr>
          <w:rFonts w:ascii="Lato Light" w:hAnsi="Lato Light" w:cstheme="majorHAnsi"/>
          <w:lang w:val="en-US"/>
        </w:rPr>
        <w:t xml:space="preserve">Fixed (Hospital) Indemnity Notice (if </w:t>
      </w:r>
      <w:r w:rsidR="00486CA7">
        <w:rPr>
          <w:rFonts w:ascii="Lato Light" w:hAnsi="Lato Light" w:cstheme="majorHAnsi"/>
          <w:lang w:val="en-US"/>
        </w:rPr>
        <w:t>offering a fixed hospital indemnity policy</w:t>
      </w:r>
      <w:r>
        <w:rPr>
          <w:rFonts w:ascii="Lato Light" w:hAnsi="Lato Light" w:cstheme="majorHAnsi"/>
          <w:lang w:val="en-US"/>
        </w:rPr>
        <w:t>)</w:t>
      </w:r>
    </w:p>
    <w:p w14:paraId="45B2D285" w14:textId="304A1106" w:rsidR="00486CA7" w:rsidRDefault="00486CA7" w:rsidP="00AD3EA2">
      <w:pPr>
        <w:numPr>
          <w:ilvl w:val="0"/>
          <w:numId w:val="17"/>
        </w:numPr>
        <w:spacing w:line="240" w:lineRule="auto"/>
        <w:rPr>
          <w:rFonts w:ascii="Lato Light" w:hAnsi="Lato Light" w:cstheme="majorHAnsi"/>
          <w:lang w:val="en-US"/>
        </w:rPr>
      </w:pPr>
      <w:r>
        <w:rPr>
          <w:rFonts w:ascii="Lato Light" w:hAnsi="Lato Light" w:cstheme="majorHAnsi"/>
          <w:lang w:val="en-US"/>
        </w:rPr>
        <w:t>No Surprises Act Notice (unless the carrier or TPA posts publicly on their website)</w:t>
      </w:r>
    </w:p>
    <w:p w14:paraId="36DDF9BE" w14:textId="139EA5A4" w:rsidR="00314186" w:rsidRDefault="00314186" w:rsidP="00AD3EA2">
      <w:pPr>
        <w:numPr>
          <w:ilvl w:val="0"/>
          <w:numId w:val="17"/>
        </w:numPr>
        <w:spacing w:line="240" w:lineRule="auto"/>
        <w:rPr>
          <w:rFonts w:ascii="Lato Light" w:hAnsi="Lato Light" w:cstheme="majorHAnsi"/>
          <w:lang w:val="en-US"/>
        </w:rPr>
      </w:pPr>
      <w:r>
        <w:rPr>
          <w:rFonts w:ascii="Lato Light" w:hAnsi="Lato Light" w:cstheme="majorHAnsi"/>
          <w:lang w:val="en-US"/>
        </w:rPr>
        <w:t>Right to Designate a Primary Care Provider, OB/GYN or Pediatrician (for a plan that requires designating a PCP)</w:t>
      </w:r>
    </w:p>
    <w:p w14:paraId="59041856" w14:textId="70E466DC" w:rsidR="00314186" w:rsidRDefault="00314186" w:rsidP="00AD3EA2">
      <w:pPr>
        <w:numPr>
          <w:ilvl w:val="0"/>
          <w:numId w:val="17"/>
        </w:numPr>
        <w:spacing w:line="240" w:lineRule="auto"/>
        <w:rPr>
          <w:rFonts w:ascii="Lato Light" w:hAnsi="Lato Light" w:cstheme="majorHAnsi"/>
          <w:lang w:val="en-US"/>
        </w:rPr>
      </w:pPr>
      <w:r>
        <w:rPr>
          <w:rFonts w:ascii="Lato Light" w:hAnsi="Lato Light" w:cstheme="majorHAnsi"/>
          <w:lang w:val="en-US"/>
        </w:rPr>
        <w:t>Grandfathered Plan Notice (for a plan that remains grandfathered)</w:t>
      </w:r>
    </w:p>
    <w:p w14:paraId="16ABCE2F" w14:textId="52589AE0" w:rsidR="008646AA" w:rsidRPr="00AD3EA2" w:rsidRDefault="008646AA" w:rsidP="00AD3EA2">
      <w:pPr>
        <w:numPr>
          <w:ilvl w:val="0"/>
          <w:numId w:val="17"/>
        </w:numPr>
        <w:spacing w:line="240" w:lineRule="auto"/>
        <w:rPr>
          <w:rFonts w:ascii="Lato Light" w:hAnsi="Lato Light" w:cstheme="majorHAnsi"/>
          <w:lang w:val="en-US"/>
        </w:rPr>
      </w:pPr>
      <w:r>
        <w:rPr>
          <w:rFonts w:ascii="Lato Light" w:hAnsi="Lato Light" w:cstheme="majorHAnsi"/>
          <w:lang w:val="en-US"/>
        </w:rPr>
        <w:t>Illinois Essential Health Benefits Notice (</w:t>
      </w:r>
      <w:r w:rsidR="00486CA7">
        <w:rPr>
          <w:rFonts w:ascii="Lato Light" w:hAnsi="Lato Light" w:cstheme="majorHAnsi"/>
          <w:lang w:val="en-US"/>
        </w:rPr>
        <w:t>given</w:t>
      </w:r>
      <w:r>
        <w:rPr>
          <w:rFonts w:ascii="Lato Light" w:hAnsi="Lato Light" w:cstheme="majorHAnsi"/>
          <w:lang w:val="en-US"/>
        </w:rPr>
        <w:t xml:space="preserve"> to employees residing in I</w:t>
      </w:r>
      <w:r w:rsidR="0026522A">
        <w:rPr>
          <w:rFonts w:ascii="Lato Light" w:hAnsi="Lato Light" w:cstheme="majorHAnsi"/>
          <w:lang w:val="en-US"/>
        </w:rPr>
        <w:t>llinois</w:t>
      </w:r>
      <w:r>
        <w:rPr>
          <w:rFonts w:ascii="Lato Light" w:hAnsi="Lato Light" w:cstheme="majorHAnsi"/>
          <w:lang w:val="en-US"/>
        </w:rPr>
        <w:t>)</w:t>
      </w:r>
    </w:p>
    <w:p w14:paraId="73A197A1" w14:textId="4469A28A" w:rsidR="00AD3EA2" w:rsidRPr="00AD3EA2" w:rsidRDefault="00AD3EA2" w:rsidP="00AD3EA2">
      <w:pPr>
        <w:numPr>
          <w:ilvl w:val="0"/>
          <w:numId w:val="17"/>
        </w:numPr>
        <w:spacing w:line="240" w:lineRule="auto"/>
        <w:rPr>
          <w:rFonts w:ascii="Lato Light" w:hAnsi="Lato Light" w:cstheme="majorHAnsi"/>
          <w:lang w:val="en-US"/>
        </w:rPr>
      </w:pPr>
      <w:r w:rsidRPr="00AD3EA2">
        <w:rPr>
          <w:rFonts w:ascii="Lato Light" w:hAnsi="Lato Light" w:cstheme="majorHAnsi"/>
          <w:lang w:val="en-US"/>
        </w:rPr>
        <w:t>Notice of Privacy Practices (in some cases) *</w:t>
      </w:r>
    </w:p>
    <w:p w14:paraId="73085332" w14:textId="35F7E58C" w:rsidR="00AD3EA2" w:rsidRDefault="00AD3EA2" w:rsidP="00AD3EA2">
      <w:pPr>
        <w:numPr>
          <w:ilvl w:val="0"/>
          <w:numId w:val="17"/>
        </w:numPr>
        <w:spacing w:line="240" w:lineRule="auto"/>
        <w:rPr>
          <w:rFonts w:ascii="Lato Light" w:hAnsi="Lato Light" w:cstheme="majorHAnsi"/>
          <w:lang w:val="en-US"/>
        </w:rPr>
      </w:pPr>
      <w:r w:rsidRPr="00AD3EA2">
        <w:rPr>
          <w:rFonts w:ascii="Lato Light" w:hAnsi="Lato Light" w:cstheme="majorHAnsi"/>
          <w:lang w:val="en-US"/>
        </w:rPr>
        <w:t>Summary of Material Modifications (including material reductions) *</w:t>
      </w:r>
      <w:r w:rsidR="008646AA">
        <w:rPr>
          <w:rFonts w:ascii="Lato Light" w:hAnsi="Lato Light" w:cstheme="majorHAnsi"/>
          <w:lang w:val="en-US"/>
        </w:rPr>
        <w:t>*</w:t>
      </w:r>
      <w:r w:rsidRPr="00AD3EA2">
        <w:rPr>
          <w:rFonts w:ascii="Lato Light" w:hAnsi="Lato Light" w:cstheme="majorHAnsi"/>
          <w:lang w:val="en-US"/>
        </w:rPr>
        <w:t xml:space="preserve"> </w:t>
      </w:r>
    </w:p>
    <w:p w14:paraId="7FEC1689" w14:textId="77777777" w:rsidR="00AD3EA2" w:rsidRPr="00AD3EA2" w:rsidRDefault="00AD3EA2" w:rsidP="00AD3EA2">
      <w:pPr>
        <w:spacing w:line="240" w:lineRule="auto"/>
        <w:ind w:left="720"/>
        <w:rPr>
          <w:rFonts w:ascii="Lato Light" w:hAnsi="Lato Light" w:cstheme="majorHAnsi"/>
          <w:lang w:val="en-US"/>
        </w:rPr>
      </w:pPr>
    </w:p>
    <w:p w14:paraId="216C8AD8" w14:textId="71960FC9" w:rsidR="00AD3EA2" w:rsidRPr="00CB6A8D" w:rsidRDefault="00AD3EA2" w:rsidP="00AD3EA2">
      <w:pPr>
        <w:spacing w:line="240" w:lineRule="auto"/>
        <w:rPr>
          <w:rFonts w:ascii="Lato Light" w:hAnsi="Lato Light" w:cstheme="majorHAnsi"/>
          <w:i/>
          <w:iCs/>
          <w:lang w:val="en-US"/>
        </w:rPr>
      </w:pPr>
      <w:r w:rsidRPr="00CB6A8D">
        <w:rPr>
          <w:rFonts w:ascii="Lato Light" w:hAnsi="Lato Light" w:cstheme="majorHAnsi"/>
          <w:i/>
          <w:iCs/>
          <w:lang w:val="en-US"/>
        </w:rPr>
        <w:t>*Fully-insured group health plans that do</w:t>
      </w:r>
      <w:r w:rsidR="00CB6A8D" w:rsidRPr="00CB6A8D">
        <w:rPr>
          <w:rFonts w:ascii="Lato Light" w:hAnsi="Lato Light" w:cstheme="majorHAnsi"/>
          <w:i/>
          <w:iCs/>
          <w:lang w:val="en-US"/>
        </w:rPr>
        <w:t xml:space="preserve"> not</w:t>
      </w:r>
      <w:r w:rsidRPr="00CB6A8D">
        <w:rPr>
          <w:rFonts w:ascii="Lato Light" w:hAnsi="Lato Light" w:cstheme="majorHAnsi"/>
          <w:i/>
          <w:iCs/>
          <w:lang w:val="en-US"/>
        </w:rPr>
        <w:t xml:space="preserve"> create or receive protected health information (PHI), other than summary health and enrollment/dis-enrollment information, </w:t>
      </w:r>
      <w:r w:rsidR="00CB6A8D" w:rsidRPr="00CB6A8D">
        <w:rPr>
          <w:rFonts w:ascii="Lato Light" w:hAnsi="Lato Light" w:cstheme="majorHAnsi"/>
          <w:i/>
          <w:iCs/>
          <w:lang w:val="en-US"/>
        </w:rPr>
        <w:t>are not required to</w:t>
      </w:r>
      <w:r w:rsidRPr="00CB6A8D">
        <w:rPr>
          <w:rFonts w:ascii="Lato Light" w:hAnsi="Lato Light" w:cstheme="majorHAnsi"/>
          <w:i/>
          <w:iCs/>
          <w:lang w:val="en-US"/>
        </w:rPr>
        <w:t xml:space="preserve"> give this notice. However, fully-insured plans that create or receive PHI </w:t>
      </w:r>
      <w:r w:rsidR="00D62829" w:rsidRPr="00CB6A8D">
        <w:rPr>
          <w:rFonts w:ascii="Lato Light" w:hAnsi="Lato Light" w:cstheme="majorHAnsi"/>
          <w:i/>
          <w:iCs/>
          <w:lang w:val="en-US"/>
        </w:rPr>
        <w:t xml:space="preserve">(such as having PHI in </w:t>
      </w:r>
      <w:r w:rsidR="00CB6A8D" w:rsidRPr="00CB6A8D">
        <w:rPr>
          <w:rFonts w:ascii="Lato Light" w:hAnsi="Lato Light" w:cstheme="majorHAnsi"/>
          <w:i/>
          <w:iCs/>
          <w:lang w:val="en-US"/>
        </w:rPr>
        <w:t xml:space="preserve">a </w:t>
      </w:r>
      <w:r w:rsidR="00E249A0" w:rsidRPr="00CB6A8D">
        <w:rPr>
          <w:rFonts w:ascii="Lato Light" w:hAnsi="Lato Light" w:cstheme="majorHAnsi"/>
          <w:i/>
          <w:iCs/>
          <w:lang w:val="en-US"/>
        </w:rPr>
        <w:t>claim</w:t>
      </w:r>
      <w:r w:rsidR="00D62829" w:rsidRPr="00CB6A8D">
        <w:rPr>
          <w:rFonts w:ascii="Lato Light" w:hAnsi="Lato Light" w:cstheme="majorHAnsi"/>
          <w:i/>
          <w:iCs/>
          <w:lang w:val="en-US"/>
        </w:rPr>
        <w:t xml:space="preserve"> analytics drill-down system), or employers who sponsor a health FSA or HRA, </w:t>
      </w:r>
      <w:r w:rsidRPr="00CB6A8D">
        <w:rPr>
          <w:rFonts w:ascii="Lato Light" w:hAnsi="Lato Light" w:cstheme="majorHAnsi"/>
          <w:i/>
          <w:iCs/>
          <w:lang w:val="en-US"/>
        </w:rPr>
        <w:t xml:space="preserve">must keep the notice and provide it to any person upon request. Or easier, they can just </w:t>
      </w:r>
      <w:r w:rsidR="00CB6A8D" w:rsidRPr="00CB6A8D">
        <w:rPr>
          <w:rFonts w:ascii="Lato Light" w:hAnsi="Lato Light" w:cstheme="majorHAnsi"/>
          <w:i/>
          <w:iCs/>
          <w:lang w:val="en-US"/>
        </w:rPr>
        <w:t>provide</w:t>
      </w:r>
      <w:r w:rsidR="00486CA7" w:rsidRPr="00CB6A8D">
        <w:rPr>
          <w:rFonts w:ascii="Lato Light" w:hAnsi="Lato Light" w:cstheme="majorHAnsi"/>
          <w:i/>
          <w:iCs/>
          <w:lang w:val="en-US"/>
        </w:rPr>
        <w:t xml:space="preserve"> the notice of privacy practices. </w:t>
      </w:r>
      <w:r w:rsidRPr="00CB6A8D">
        <w:rPr>
          <w:rFonts w:ascii="Lato Light" w:hAnsi="Lato Light" w:cstheme="majorHAnsi"/>
          <w:i/>
          <w:iCs/>
          <w:lang w:val="en-US"/>
        </w:rPr>
        <w:t xml:space="preserve"> </w:t>
      </w:r>
    </w:p>
    <w:p w14:paraId="5C1746AD" w14:textId="1F29702C" w:rsidR="00AD3EA2" w:rsidRPr="00AD3EA2" w:rsidRDefault="00AD3EA2" w:rsidP="00AD3EA2">
      <w:pPr>
        <w:spacing w:line="240" w:lineRule="auto"/>
        <w:rPr>
          <w:rFonts w:ascii="Lato Light" w:hAnsi="Lato Light" w:cstheme="majorHAnsi"/>
          <w:lang w:val="en-US"/>
        </w:rPr>
      </w:pPr>
    </w:p>
    <w:p w14:paraId="03FF3C42" w14:textId="51FFE41D" w:rsidR="00AD3EA2" w:rsidRPr="00CB6A8D" w:rsidRDefault="00AD3EA2" w:rsidP="00AD3EA2">
      <w:pPr>
        <w:spacing w:line="240" w:lineRule="auto"/>
        <w:rPr>
          <w:rFonts w:ascii="Lato Light" w:hAnsi="Lato Light" w:cstheme="majorHAnsi"/>
          <w:i/>
          <w:iCs/>
          <w:lang w:val="en-US"/>
        </w:rPr>
      </w:pPr>
      <w:r w:rsidRPr="00CB6A8D">
        <w:rPr>
          <w:rFonts w:ascii="Lato Light" w:hAnsi="Lato Light" w:cstheme="majorHAnsi"/>
          <w:i/>
          <w:iCs/>
          <w:lang w:val="en-US"/>
        </w:rPr>
        <w:t xml:space="preserve">**Employers who communicate material changes for the coming year in open enrollment materials should include language to notify participants that it also constitutes an SMM. This </w:t>
      </w:r>
      <w:r w:rsidR="00CB6A8D">
        <w:rPr>
          <w:rFonts w:ascii="Lato Light" w:hAnsi="Lato Light" w:cstheme="majorHAnsi"/>
          <w:i/>
          <w:iCs/>
          <w:lang w:val="en-US"/>
        </w:rPr>
        <w:t>is</w:t>
      </w:r>
      <w:r w:rsidRPr="00CB6A8D">
        <w:rPr>
          <w:rFonts w:ascii="Lato Light" w:hAnsi="Lato Light" w:cstheme="majorHAnsi"/>
          <w:i/>
          <w:iCs/>
          <w:lang w:val="en-US"/>
        </w:rPr>
        <w:t xml:space="preserve"> an effective way of letting participants know about the changes while satisfying the SMM requirement. </w:t>
      </w:r>
    </w:p>
    <w:p w14:paraId="6D143431" w14:textId="77777777" w:rsidR="00AD3EA2" w:rsidRPr="00CB6A8D" w:rsidRDefault="00AD3EA2" w:rsidP="00AD3EA2">
      <w:pPr>
        <w:spacing w:line="240" w:lineRule="auto"/>
        <w:rPr>
          <w:rFonts w:ascii="Lato Light" w:hAnsi="Lato Light" w:cstheme="majorHAnsi"/>
          <w:i/>
          <w:iCs/>
          <w:lang w:val="en-US"/>
        </w:rPr>
      </w:pPr>
    </w:p>
    <w:p w14:paraId="50ED0DAE" w14:textId="12770ADA" w:rsidR="00AD3EA2" w:rsidRDefault="00AD3EA2" w:rsidP="00AD3EA2">
      <w:pPr>
        <w:spacing w:line="240" w:lineRule="auto"/>
        <w:rPr>
          <w:rFonts w:ascii="Lato Light" w:hAnsi="Lato Light" w:cstheme="majorHAnsi"/>
        </w:rPr>
      </w:pPr>
      <w:r w:rsidRPr="00AD3EA2">
        <w:rPr>
          <w:rFonts w:ascii="Lato Light" w:hAnsi="Lato Light" w:cstheme="majorHAnsi"/>
        </w:rPr>
        <w:lastRenderedPageBreak/>
        <w:t xml:space="preserve">In contrast, there are two notices that might be better left out of open enrollment materials. The first is the COBRA Initial Notice because it must be given to enrolled employees and spouses within 90 days of plan participation, preferably sent via first-class mail. Similarly, the </w:t>
      </w:r>
      <w:r w:rsidR="003D1808">
        <w:rPr>
          <w:rFonts w:ascii="Lato Light" w:hAnsi="Lato Light" w:cstheme="majorHAnsi"/>
        </w:rPr>
        <w:t>“wrap” document and summary plan description (</w:t>
      </w:r>
      <w:r w:rsidRPr="00AD3EA2">
        <w:rPr>
          <w:rFonts w:ascii="Lato Light" w:hAnsi="Lato Light" w:cstheme="majorHAnsi"/>
        </w:rPr>
        <w:t>SPD</w:t>
      </w:r>
      <w:r w:rsidR="003D1808">
        <w:rPr>
          <w:rFonts w:ascii="Lato Light" w:hAnsi="Lato Light" w:cstheme="majorHAnsi"/>
        </w:rPr>
        <w:t>)</w:t>
      </w:r>
      <w:r w:rsidR="00D62829">
        <w:rPr>
          <w:rFonts w:ascii="Lato Light" w:hAnsi="Lato Light" w:cstheme="majorHAnsi"/>
        </w:rPr>
        <w:t>, along with the booklet or certificate of each plan it wraps around,</w:t>
      </w:r>
      <w:r w:rsidRPr="00AD3EA2">
        <w:rPr>
          <w:rFonts w:ascii="Lato Light" w:hAnsi="Lato Light" w:cstheme="majorHAnsi"/>
        </w:rPr>
        <w:t xml:space="preserve"> must be given within 90 days of plan enrollment, but it can be provided earlier if it helps employees make more informed decisions.</w:t>
      </w:r>
    </w:p>
    <w:p w14:paraId="2CAB02CE" w14:textId="77777777" w:rsidR="008646AA" w:rsidRDefault="008646AA" w:rsidP="00AD3EA2">
      <w:pPr>
        <w:spacing w:line="240" w:lineRule="auto"/>
        <w:rPr>
          <w:rFonts w:ascii="Lato Light" w:hAnsi="Lato Light" w:cstheme="majorHAnsi"/>
        </w:rPr>
      </w:pPr>
    </w:p>
    <w:p w14:paraId="5E35025F" w14:textId="6CBE10AB" w:rsidR="003D1808" w:rsidRPr="003D1808" w:rsidRDefault="003D1808" w:rsidP="00AD3EA2">
      <w:pPr>
        <w:spacing w:line="240" w:lineRule="auto"/>
        <w:rPr>
          <w:rFonts w:ascii="Lato Light" w:hAnsi="Lato Light" w:cstheme="majorHAnsi"/>
          <w:b/>
          <w:bCs/>
        </w:rPr>
      </w:pPr>
      <w:r w:rsidRPr="003D1808">
        <w:rPr>
          <w:rFonts w:ascii="Lato Light" w:hAnsi="Lato Light" w:cstheme="majorHAnsi"/>
          <w:b/>
          <w:bCs/>
        </w:rPr>
        <w:t>Electronic Disclosure Safe Harbor</w:t>
      </w:r>
    </w:p>
    <w:p w14:paraId="1AA51D96" w14:textId="77777777" w:rsidR="00CB6A8D" w:rsidRDefault="00CB6A8D" w:rsidP="00CB6A8D">
      <w:pPr>
        <w:spacing w:line="240" w:lineRule="auto"/>
        <w:rPr>
          <w:rFonts w:ascii="Lato Light" w:hAnsi="Lato Light" w:cstheme="majorHAnsi"/>
        </w:rPr>
      </w:pPr>
      <w:r w:rsidRPr="003D1808">
        <w:rPr>
          <w:rFonts w:ascii="Lato Light" w:hAnsi="Lato Light" w:cstheme="majorHAnsi"/>
        </w:rPr>
        <w:t xml:space="preserve">The DOL safe harbor describes </w:t>
      </w:r>
      <w:r>
        <w:rPr>
          <w:rFonts w:ascii="Lato Light" w:hAnsi="Lato Light" w:cstheme="majorHAnsi"/>
        </w:rPr>
        <w:t>conditions</w:t>
      </w:r>
      <w:r w:rsidRPr="003D1808">
        <w:rPr>
          <w:rFonts w:ascii="Lato Light" w:hAnsi="Lato Light" w:cstheme="majorHAnsi"/>
        </w:rPr>
        <w:t xml:space="preserve"> where ERISA plans may </w:t>
      </w:r>
      <w:r>
        <w:rPr>
          <w:rFonts w:ascii="Lato Light" w:hAnsi="Lato Light" w:cstheme="majorHAnsi"/>
        </w:rPr>
        <w:t>provide</w:t>
      </w:r>
      <w:r w:rsidRPr="003D1808">
        <w:rPr>
          <w:rFonts w:ascii="Lato Light" w:hAnsi="Lato Light" w:cstheme="majorHAnsi"/>
        </w:rPr>
        <w:t xml:space="preserve"> documents electronically, including</w:t>
      </w:r>
      <w:r>
        <w:rPr>
          <w:rFonts w:ascii="Lato Light" w:hAnsi="Lato Light" w:cstheme="majorHAnsi"/>
        </w:rPr>
        <w:t xml:space="preserve"> most notices (e.g., Summary of Benefits and Coverage, Medicare Part D, Special Enrollment Rights, CHIP, etc.)  and the</w:t>
      </w:r>
      <w:r w:rsidRPr="003D1808">
        <w:rPr>
          <w:rFonts w:ascii="Lato Light" w:hAnsi="Lato Light" w:cstheme="majorHAnsi"/>
        </w:rPr>
        <w:t xml:space="preserve"> </w:t>
      </w:r>
      <w:r>
        <w:rPr>
          <w:rFonts w:ascii="Lato Light" w:hAnsi="Lato Light" w:cstheme="majorHAnsi"/>
        </w:rPr>
        <w:t xml:space="preserve">“wrap” </w:t>
      </w:r>
      <w:r w:rsidRPr="003D1808">
        <w:rPr>
          <w:rFonts w:ascii="Lato Light" w:hAnsi="Lato Light" w:cstheme="majorHAnsi"/>
        </w:rPr>
        <w:t xml:space="preserve">Summary Plan Description (SPD). Under this safe harbor, plan administrators must use a method reasonably calculated to ensure actual receipt of the </w:t>
      </w:r>
      <w:r>
        <w:rPr>
          <w:rFonts w:ascii="Lato Light" w:hAnsi="Lato Light" w:cstheme="majorHAnsi"/>
        </w:rPr>
        <w:t>notice or document</w:t>
      </w:r>
      <w:r w:rsidRPr="003D1808">
        <w:rPr>
          <w:rFonts w:ascii="Lato Light" w:hAnsi="Lato Light" w:cstheme="majorHAnsi"/>
        </w:rPr>
        <w:t>. For example, the administrator could use a read-receipt, notice of undelivered e-mail or run periodic reviews to confirm receipt of any transmitted information.</w:t>
      </w:r>
    </w:p>
    <w:p w14:paraId="4B6CC641" w14:textId="77777777" w:rsidR="00CB6A8D" w:rsidRDefault="00CB6A8D" w:rsidP="00CB6A8D">
      <w:pPr>
        <w:spacing w:line="240" w:lineRule="auto"/>
        <w:rPr>
          <w:rFonts w:ascii="Lato Light" w:hAnsi="Lato Light" w:cstheme="majorHAnsi"/>
        </w:rPr>
      </w:pPr>
    </w:p>
    <w:p w14:paraId="26FE7F63" w14:textId="77777777" w:rsidR="00CB6A8D" w:rsidRDefault="00CB6A8D" w:rsidP="00CB6A8D">
      <w:pPr>
        <w:spacing w:line="240" w:lineRule="auto"/>
        <w:rPr>
          <w:rFonts w:ascii="Lato Light" w:hAnsi="Lato Light" w:cstheme="majorHAnsi"/>
          <w:lang w:val="en-US"/>
        </w:rPr>
      </w:pPr>
      <w:r w:rsidRPr="003D1808">
        <w:rPr>
          <w:rFonts w:ascii="Lato Light" w:hAnsi="Lato Light" w:cstheme="majorHAnsi"/>
          <w:lang w:val="en-US"/>
        </w:rPr>
        <w:t>The rules identify two categories of employees when determining whether electronic distribution is appropriate:</w:t>
      </w:r>
    </w:p>
    <w:p w14:paraId="0C69AF4B" w14:textId="77777777" w:rsidR="00CB6A8D" w:rsidRPr="003D1808" w:rsidRDefault="00CB6A8D" w:rsidP="00CB6A8D">
      <w:pPr>
        <w:spacing w:line="240" w:lineRule="auto"/>
        <w:rPr>
          <w:rFonts w:ascii="Lato Light" w:hAnsi="Lato Light" w:cstheme="majorHAnsi"/>
          <w:lang w:val="en-US"/>
        </w:rPr>
      </w:pPr>
    </w:p>
    <w:p w14:paraId="4D7677CF" w14:textId="77777777" w:rsidR="00CB6A8D" w:rsidRDefault="00CB6A8D" w:rsidP="00CB6A8D">
      <w:pPr>
        <w:spacing w:line="240" w:lineRule="auto"/>
        <w:ind w:left="360"/>
        <w:rPr>
          <w:rFonts w:ascii="Lato Light" w:hAnsi="Lato Light" w:cstheme="majorHAnsi"/>
          <w:lang w:val="en-US"/>
        </w:rPr>
      </w:pPr>
      <w:r w:rsidRPr="005A1F93">
        <w:rPr>
          <w:rFonts w:ascii="Lato Light" w:hAnsi="Lato Light" w:cstheme="majorHAnsi"/>
          <w:b/>
          <w:bCs/>
          <w:lang w:val="en-US"/>
        </w:rPr>
        <w:t>Category 1</w:t>
      </w:r>
      <w:r>
        <w:rPr>
          <w:rFonts w:ascii="Lato Light" w:hAnsi="Lato Light" w:cstheme="majorHAnsi"/>
          <w:lang w:val="en-US"/>
        </w:rPr>
        <w:t xml:space="preserve">: </w:t>
      </w:r>
      <w:r w:rsidRPr="003D1808">
        <w:rPr>
          <w:rFonts w:ascii="Lato Light" w:hAnsi="Lato Light" w:cstheme="majorHAnsi"/>
          <w:lang w:val="en-US"/>
        </w:rPr>
        <w:t>Participants with work-related computer access as an integral part of their employment duties</w:t>
      </w:r>
      <w:r>
        <w:rPr>
          <w:rFonts w:ascii="Lato Light" w:hAnsi="Lato Light" w:cstheme="majorHAnsi"/>
          <w:lang w:val="en-US"/>
        </w:rPr>
        <w:t>*;</w:t>
      </w:r>
      <w:r w:rsidRPr="003D1808">
        <w:rPr>
          <w:rFonts w:ascii="Lato Light" w:hAnsi="Lato Light" w:cstheme="majorHAnsi"/>
          <w:lang w:val="en-US"/>
        </w:rPr>
        <w:t xml:space="preserve"> </w:t>
      </w:r>
      <w:r>
        <w:rPr>
          <w:rFonts w:ascii="Lato Light" w:hAnsi="Lato Light" w:cstheme="majorHAnsi"/>
          <w:lang w:val="en-US"/>
        </w:rPr>
        <w:t>or</w:t>
      </w:r>
    </w:p>
    <w:p w14:paraId="54DF1671" w14:textId="77777777" w:rsidR="00CB6A8D" w:rsidRPr="003D1808" w:rsidRDefault="00CB6A8D" w:rsidP="00CB6A8D">
      <w:pPr>
        <w:spacing w:line="240" w:lineRule="auto"/>
        <w:ind w:left="360"/>
        <w:rPr>
          <w:rFonts w:ascii="Lato Light" w:hAnsi="Lato Light" w:cstheme="majorHAnsi"/>
          <w:lang w:val="en-US"/>
        </w:rPr>
      </w:pPr>
      <w:r w:rsidRPr="003D1808">
        <w:rPr>
          <w:rFonts w:ascii="Lato Light" w:hAnsi="Lato Light" w:cstheme="majorHAnsi"/>
          <w:lang w:val="en-US"/>
        </w:rPr>
        <w:t> </w:t>
      </w:r>
    </w:p>
    <w:p w14:paraId="0D6CC984" w14:textId="77777777" w:rsidR="00CB6A8D" w:rsidRDefault="00CB6A8D" w:rsidP="00CB6A8D">
      <w:pPr>
        <w:spacing w:line="240" w:lineRule="auto"/>
        <w:ind w:left="360"/>
        <w:rPr>
          <w:rFonts w:ascii="Lato Light" w:hAnsi="Lato Light" w:cstheme="majorHAnsi"/>
          <w:lang w:val="en-US"/>
        </w:rPr>
      </w:pPr>
      <w:r w:rsidRPr="005A1F93">
        <w:rPr>
          <w:rFonts w:ascii="Lato Light" w:hAnsi="Lato Light" w:cstheme="majorHAnsi"/>
          <w:b/>
          <w:bCs/>
          <w:lang w:val="en-US"/>
        </w:rPr>
        <w:t>Category 2</w:t>
      </w:r>
      <w:r>
        <w:rPr>
          <w:rFonts w:ascii="Lato Light" w:hAnsi="Lato Light" w:cstheme="majorHAnsi"/>
          <w:lang w:val="en-US"/>
        </w:rPr>
        <w:t xml:space="preserve">: </w:t>
      </w:r>
      <w:r w:rsidRPr="003D1808">
        <w:rPr>
          <w:rFonts w:ascii="Lato Light" w:hAnsi="Lato Light" w:cstheme="majorHAnsi"/>
          <w:lang w:val="en-US"/>
        </w:rPr>
        <w:t>Participants with no work-related computer access, but who affirmatively consent to receive documents electronically.</w:t>
      </w:r>
    </w:p>
    <w:p w14:paraId="217B85FA" w14:textId="77777777" w:rsidR="00CB6A8D" w:rsidRDefault="00CB6A8D" w:rsidP="00CB6A8D">
      <w:pPr>
        <w:spacing w:line="240" w:lineRule="auto"/>
        <w:ind w:left="360"/>
        <w:rPr>
          <w:rFonts w:ascii="Lato Light" w:hAnsi="Lato Light" w:cstheme="majorHAnsi"/>
          <w:lang w:val="en-US"/>
        </w:rPr>
      </w:pPr>
    </w:p>
    <w:p w14:paraId="1ACF8411" w14:textId="77777777" w:rsidR="00CB6A8D" w:rsidRPr="00FB169A" w:rsidRDefault="00CB6A8D" w:rsidP="00CB6A8D">
      <w:pPr>
        <w:spacing w:line="240" w:lineRule="auto"/>
        <w:rPr>
          <w:rFonts w:ascii="Lato Light" w:hAnsi="Lato Light" w:cstheme="majorHAnsi"/>
          <w:i/>
          <w:iCs/>
          <w:lang w:val="en-US"/>
        </w:rPr>
      </w:pPr>
      <w:r>
        <w:rPr>
          <w:rFonts w:ascii="Lato Light" w:hAnsi="Lato Light" w:cstheme="majorHAnsi"/>
          <w:i/>
          <w:iCs/>
        </w:rPr>
        <w:t>*</w:t>
      </w:r>
      <w:r w:rsidRPr="00FB169A">
        <w:rPr>
          <w:rFonts w:ascii="Lato Light" w:hAnsi="Lato Light" w:cstheme="majorHAnsi"/>
          <w:i/>
          <w:iCs/>
        </w:rPr>
        <w:t>Note</w:t>
      </w:r>
      <w:r>
        <w:rPr>
          <w:rFonts w:ascii="Lato Light" w:hAnsi="Lato Light" w:cstheme="majorHAnsi"/>
          <w:i/>
          <w:iCs/>
        </w:rPr>
        <w:t>,</w:t>
      </w:r>
      <w:r w:rsidRPr="00FB169A">
        <w:rPr>
          <w:rFonts w:ascii="Lato Light" w:hAnsi="Lato Light" w:cstheme="majorHAnsi"/>
          <w:i/>
          <w:iCs/>
        </w:rPr>
        <w:t xml:space="preserve"> the first </w:t>
      </w:r>
      <w:r>
        <w:rPr>
          <w:rFonts w:ascii="Lato Light" w:hAnsi="Lato Light" w:cstheme="majorHAnsi"/>
          <w:i/>
          <w:iCs/>
        </w:rPr>
        <w:t>category</w:t>
      </w:r>
      <w:r w:rsidRPr="00FB169A">
        <w:rPr>
          <w:rFonts w:ascii="Lato Light" w:hAnsi="Lato Light" w:cstheme="majorHAnsi"/>
          <w:i/>
          <w:iCs/>
        </w:rPr>
        <w:t xml:space="preserve"> would not necessarily include employees who have access to a computer station</w:t>
      </w:r>
      <w:r>
        <w:rPr>
          <w:rFonts w:ascii="Lato Light" w:hAnsi="Lato Light" w:cstheme="majorHAnsi"/>
          <w:i/>
          <w:iCs/>
        </w:rPr>
        <w:t>/kiosk</w:t>
      </w:r>
      <w:r w:rsidRPr="00FB169A">
        <w:rPr>
          <w:rFonts w:ascii="Lato Light" w:hAnsi="Lato Light" w:cstheme="majorHAnsi"/>
          <w:i/>
          <w:iCs/>
        </w:rPr>
        <w:t xml:space="preserve"> or who</w:t>
      </w:r>
      <w:r>
        <w:rPr>
          <w:rFonts w:ascii="Lato Light" w:hAnsi="Lato Light" w:cstheme="majorHAnsi"/>
          <w:i/>
          <w:iCs/>
        </w:rPr>
        <w:t xml:space="preserve"> have </w:t>
      </w:r>
      <w:r w:rsidRPr="00FB169A">
        <w:rPr>
          <w:rFonts w:ascii="Lato Light" w:hAnsi="Lato Light" w:cstheme="majorHAnsi"/>
          <w:i/>
          <w:iCs/>
        </w:rPr>
        <w:t>been given a company-issued email</w:t>
      </w:r>
      <w:r>
        <w:rPr>
          <w:rFonts w:ascii="Lato Light" w:hAnsi="Lato Light" w:cstheme="majorHAnsi"/>
          <w:i/>
          <w:iCs/>
        </w:rPr>
        <w:t xml:space="preserve"> or access to an HRIS platform</w:t>
      </w:r>
      <w:r w:rsidRPr="00FB169A">
        <w:rPr>
          <w:rFonts w:ascii="Lato Light" w:hAnsi="Lato Light" w:cstheme="majorHAnsi"/>
          <w:i/>
          <w:iCs/>
        </w:rPr>
        <w:t>. Instead, these employees must be able to access electronic documents at a location where they usually work</w:t>
      </w:r>
      <w:r>
        <w:rPr>
          <w:rFonts w:ascii="Lato Light" w:hAnsi="Lato Light" w:cstheme="majorHAnsi"/>
          <w:i/>
          <w:iCs/>
        </w:rPr>
        <w:t>, and the electronic system is an integral part of their employment duties</w:t>
      </w:r>
      <w:r w:rsidRPr="00FB169A">
        <w:rPr>
          <w:rFonts w:ascii="Lato Light" w:hAnsi="Lato Light" w:cstheme="majorHAnsi"/>
          <w:i/>
          <w:iCs/>
        </w:rPr>
        <w:t>. Therefore, the employer needs to</w:t>
      </w:r>
      <w:r>
        <w:rPr>
          <w:rFonts w:ascii="Lato Light" w:hAnsi="Lato Light" w:cstheme="majorHAnsi"/>
          <w:i/>
          <w:iCs/>
        </w:rPr>
        <w:t xml:space="preserve"> carefully review</w:t>
      </w:r>
      <w:r w:rsidRPr="00FB169A">
        <w:rPr>
          <w:rFonts w:ascii="Lato Light" w:hAnsi="Lato Light" w:cstheme="majorHAnsi"/>
          <w:i/>
          <w:iCs/>
        </w:rPr>
        <w:t xml:space="preserve"> the nature of their employees’ duties and determine </w:t>
      </w:r>
      <w:r>
        <w:rPr>
          <w:rFonts w:ascii="Lato Light" w:hAnsi="Lato Light" w:cstheme="majorHAnsi"/>
          <w:i/>
          <w:iCs/>
        </w:rPr>
        <w:t xml:space="preserve">into </w:t>
      </w:r>
      <w:r w:rsidRPr="00FB169A">
        <w:rPr>
          <w:rFonts w:ascii="Lato Light" w:hAnsi="Lato Light" w:cstheme="majorHAnsi"/>
          <w:i/>
          <w:iCs/>
        </w:rPr>
        <w:t xml:space="preserve">which category </w:t>
      </w:r>
      <w:r>
        <w:rPr>
          <w:rFonts w:ascii="Lato Light" w:hAnsi="Lato Light" w:cstheme="majorHAnsi"/>
          <w:i/>
          <w:iCs/>
        </w:rPr>
        <w:t>employees</w:t>
      </w:r>
      <w:r w:rsidRPr="00FB169A">
        <w:rPr>
          <w:rFonts w:ascii="Lato Light" w:hAnsi="Lato Light" w:cstheme="majorHAnsi"/>
          <w:i/>
          <w:iCs/>
        </w:rPr>
        <w:t xml:space="preserve"> fit.</w:t>
      </w:r>
    </w:p>
    <w:p w14:paraId="260A3527" w14:textId="77777777" w:rsidR="00CB6A8D" w:rsidRPr="00FB169A" w:rsidRDefault="00CB6A8D" w:rsidP="00CB6A8D">
      <w:pPr>
        <w:spacing w:line="240" w:lineRule="auto"/>
        <w:rPr>
          <w:rFonts w:ascii="Lato Light" w:hAnsi="Lato Light" w:cstheme="majorHAnsi"/>
          <w:i/>
          <w:iCs/>
          <w:lang w:val="en-US"/>
        </w:rPr>
      </w:pPr>
    </w:p>
    <w:p w14:paraId="70A5DCC0" w14:textId="77777777" w:rsidR="00CB6A8D" w:rsidRDefault="00CB6A8D" w:rsidP="00CB6A8D">
      <w:pPr>
        <w:spacing w:line="240" w:lineRule="auto"/>
        <w:rPr>
          <w:rFonts w:ascii="Lato Light" w:hAnsi="Lato Light" w:cstheme="majorHAnsi"/>
          <w:lang w:val="en-US"/>
        </w:rPr>
      </w:pPr>
      <w:r w:rsidRPr="0026522A">
        <w:rPr>
          <w:rFonts w:ascii="Lato Light" w:hAnsi="Lato Light" w:cstheme="majorHAnsi"/>
          <w:lang w:val="en-US"/>
        </w:rPr>
        <w:t xml:space="preserve">If employees fit into the second category, these workers must </w:t>
      </w:r>
      <w:r>
        <w:rPr>
          <w:rFonts w:ascii="Lato Light" w:hAnsi="Lato Light" w:cstheme="majorHAnsi"/>
          <w:lang w:val="en-US"/>
        </w:rPr>
        <w:t>give affirmative</w:t>
      </w:r>
      <w:r w:rsidRPr="0026522A">
        <w:rPr>
          <w:rFonts w:ascii="Lato Light" w:hAnsi="Lato Light" w:cstheme="majorHAnsi"/>
          <w:lang w:val="en-US"/>
        </w:rPr>
        <w:t xml:space="preserve"> consent to their employer to send the documents electronically</w:t>
      </w:r>
      <w:r>
        <w:rPr>
          <w:rFonts w:ascii="Lato Light" w:hAnsi="Lato Light" w:cstheme="majorHAnsi"/>
          <w:lang w:val="en-US"/>
        </w:rPr>
        <w:t xml:space="preserve"> by sending an authorization from the email address they prefer</w:t>
      </w:r>
      <w:r w:rsidRPr="0026522A">
        <w:rPr>
          <w:rFonts w:ascii="Lato Light" w:hAnsi="Lato Light" w:cstheme="majorHAnsi"/>
          <w:lang w:val="en-US"/>
        </w:rPr>
        <w:t>. However, the employer must provide a notice prior to, or as a part of that request for consent</w:t>
      </w:r>
      <w:r>
        <w:rPr>
          <w:rFonts w:ascii="Lato Light" w:hAnsi="Lato Light" w:cstheme="majorHAnsi"/>
          <w:lang w:val="en-US"/>
        </w:rPr>
        <w:t>,</w:t>
      </w:r>
      <w:r w:rsidRPr="0026522A">
        <w:rPr>
          <w:rFonts w:ascii="Lato Light" w:hAnsi="Lato Light" w:cstheme="majorHAnsi"/>
          <w:lang w:val="en-US"/>
        </w:rPr>
        <w:t xml:space="preserve"> that includes the following: </w:t>
      </w:r>
    </w:p>
    <w:p w14:paraId="2612ABCF" w14:textId="77777777" w:rsidR="00CB6A8D" w:rsidRPr="0026522A" w:rsidRDefault="00CB6A8D" w:rsidP="00CB6A8D">
      <w:pPr>
        <w:spacing w:line="240" w:lineRule="auto"/>
        <w:rPr>
          <w:rFonts w:ascii="Lato Light" w:hAnsi="Lato Light" w:cstheme="majorHAnsi"/>
          <w:lang w:val="en-US"/>
        </w:rPr>
      </w:pPr>
    </w:p>
    <w:p w14:paraId="3555F9FE" w14:textId="77777777" w:rsidR="00CB6A8D" w:rsidRPr="0026522A" w:rsidRDefault="00CB6A8D" w:rsidP="00CB6A8D">
      <w:pPr>
        <w:numPr>
          <w:ilvl w:val="0"/>
          <w:numId w:val="19"/>
        </w:numPr>
        <w:spacing w:line="240" w:lineRule="auto"/>
        <w:rPr>
          <w:rFonts w:ascii="Lato Light" w:hAnsi="Lato Light" w:cstheme="majorHAnsi"/>
          <w:lang w:val="en-US"/>
        </w:rPr>
      </w:pPr>
      <w:r w:rsidRPr="0026522A">
        <w:rPr>
          <w:rFonts w:ascii="Lato Light" w:hAnsi="Lato Light" w:cstheme="majorHAnsi"/>
          <w:lang w:val="en-US"/>
        </w:rPr>
        <w:t>an explanation that the documents will be available electronically</w:t>
      </w:r>
    </w:p>
    <w:p w14:paraId="3E645E4A" w14:textId="77777777" w:rsidR="00CB6A8D" w:rsidRPr="0026522A" w:rsidRDefault="00CB6A8D" w:rsidP="00CB6A8D">
      <w:pPr>
        <w:numPr>
          <w:ilvl w:val="0"/>
          <w:numId w:val="19"/>
        </w:numPr>
        <w:spacing w:line="240" w:lineRule="auto"/>
        <w:rPr>
          <w:rFonts w:ascii="Lato Light" w:hAnsi="Lato Light" w:cstheme="majorHAnsi"/>
          <w:lang w:val="en-US"/>
        </w:rPr>
      </w:pPr>
      <w:r w:rsidRPr="0026522A">
        <w:rPr>
          <w:rFonts w:ascii="Lato Light" w:hAnsi="Lato Light" w:cstheme="majorHAnsi"/>
          <w:lang w:val="en-US"/>
        </w:rPr>
        <w:t>a notice that the employee's consent for electronic documents can be withdrawn without charge </w:t>
      </w:r>
    </w:p>
    <w:p w14:paraId="2B820EA2" w14:textId="77777777" w:rsidR="00CB6A8D" w:rsidRPr="0026522A" w:rsidRDefault="00CB6A8D" w:rsidP="00CB6A8D">
      <w:pPr>
        <w:numPr>
          <w:ilvl w:val="0"/>
          <w:numId w:val="19"/>
        </w:numPr>
        <w:spacing w:line="240" w:lineRule="auto"/>
        <w:rPr>
          <w:rFonts w:ascii="Lato Light" w:hAnsi="Lato Light" w:cstheme="majorHAnsi"/>
          <w:lang w:val="en-US"/>
        </w:rPr>
      </w:pPr>
      <w:r w:rsidRPr="0026522A">
        <w:rPr>
          <w:rFonts w:ascii="Lato Light" w:hAnsi="Lato Light" w:cstheme="majorHAnsi"/>
          <w:lang w:val="en-US"/>
        </w:rPr>
        <w:t>the procedures for withdrawing consent and updating information</w:t>
      </w:r>
    </w:p>
    <w:p w14:paraId="377816D9" w14:textId="77777777" w:rsidR="00CB6A8D" w:rsidRPr="0026522A" w:rsidRDefault="00CB6A8D" w:rsidP="00CB6A8D">
      <w:pPr>
        <w:numPr>
          <w:ilvl w:val="0"/>
          <w:numId w:val="19"/>
        </w:numPr>
        <w:spacing w:line="240" w:lineRule="auto"/>
        <w:rPr>
          <w:rFonts w:ascii="Lato Light" w:hAnsi="Lato Light" w:cstheme="majorHAnsi"/>
          <w:lang w:val="en-US"/>
        </w:rPr>
      </w:pPr>
      <w:r w:rsidRPr="0026522A">
        <w:rPr>
          <w:rFonts w:ascii="Lato Light" w:hAnsi="Lato Light" w:cstheme="majorHAnsi"/>
          <w:lang w:val="en-US"/>
        </w:rPr>
        <w:t>the right to request a paper copy and if a charge applies (note: no charge may be imposed for an SPD because it must be provided without charge)</w:t>
      </w:r>
    </w:p>
    <w:p w14:paraId="15114CF0" w14:textId="77777777" w:rsidR="00CB6A8D" w:rsidRDefault="00CB6A8D" w:rsidP="00CB6A8D">
      <w:pPr>
        <w:numPr>
          <w:ilvl w:val="0"/>
          <w:numId w:val="19"/>
        </w:numPr>
        <w:spacing w:line="240" w:lineRule="auto"/>
        <w:rPr>
          <w:rFonts w:ascii="Lato Light" w:hAnsi="Lato Light" w:cstheme="majorHAnsi"/>
          <w:lang w:val="en-US"/>
        </w:rPr>
      </w:pPr>
      <w:r w:rsidRPr="0026522A">
        <w:rPr>
          <w:rFonts w:ascii="Lato Light" w:hAnsi="Lato Light" w:cstheme="majorHAnsi"/>
          <w:lang w:val="en-US"/>
        </w:rPr>
        <w:t xml:space="preserve">description of the electronic delivery system and the software needed to </w:t>
      </w:r>
      <w:r>
        <w:rPr>
          <w:rFonts w:ascii="Lato Light" w:hAnsi="Lato Light" w:cstheme="majorHAnsi"/>
          <w:lang w:val="en-US"/>
        </w:rPr>
        <w:t>access (note, the whole process of providing notice and receiving active consent has to be redone if the electronic delivery system and software changes)</w:t>
      </w:r>
    </w:p>
    <w:p w14:paraId="53C15F50" w14:textId="77777777" w:rsidR="00CB6A8D" w:rsidRPr="0026522A" w:rsidRDefault="00CB6A8D" w:rsidP="00CB6A8D">
      <w:pPr>
        <w:spacing w:line="240" w:lineRule="auto"/>
        <w:ind w:left="720"/>
        <w:rPr>
          <w:rFonts w:ascii="Lato Light" w:hAnsi="Lato Light" w:cstheme="majorHAnsi"/>
          <w:lang w:val="en-US"/>
        </w:rPr>
      </w:pPr>
      <w:r w:rsidRPr="0026522A">
        <w:rPr>
          <w:rFonts w:ascii="Lato Light" w:hAnsi="Lato Light" w:cstheme="majorHAnsi"/>
          <w:lang w:val="en-US"/>
        </w:rPr>
        <w:t>​</w:t>
      </w:r>
    </w:p>
    <w:p w14:paraId="3C726EE2" w14:textId="77777777" w:rsidR="00CB6A8D" w:rsidRPr="0026522A" w:rsidRDefault="00CB6A8D" w:rsidP="00CB6A8D">
      <w:pPr>
        <w:spacing w:line="240" w:lineRule="auto"/>
        <w:rPr>
          <w:rFonts w:ascii="Lato Light" w:hAnsi="Lato Light" w:cstheme="majorHAnsi"/>
          <w:lang w:val="en-US"/>
        </w:rPr>
      </w:pPr>
      <w:r w:rsidRPr="0026522A">
        <w:rPr>
          <w:rFonts w:ascii="Lato Light" w:hAnsi="Lato Light" w:cstheme="majorHAnsi"/>
          <w:lang w:val="en-US"/>
        </w:rPr>
        <w:t>If an employee in the second category does</w:t>
      </w:r>
      <w:r>
        <w:rPr>
          <w:rFonts w:ascii="Lato Light" w:hAnsi="Lato Light" w:cstheme="majorHAnsi"/>
          <w:lang w:val="en-US"/>
        </w:rPr>
        <w:t xml:space="preserve"> not </w:t>
      </w:r>
      <w:r w:rsidRPr="0026522A">
        <w:rPr>
          <w:rFonts w:ascii="Lato Light" w:hAnsi="Lato Light" w:cstheme="majorHAnsi"/>
          <w:lang w:val="en-US"/>
        </w:rPr>
        <w:t>give consent, or withdraws consent, then the employer should mail a paper copy or distribute it through some other verifiable delivery method. </w:t>
      </w:r>
    </w:p>
    <w:p w14:paraId="0D14A062" w14:textId="77777777" w:rsidR="00CB6A8D" w:rsidRPr="0026522A" w:rsidRDefault="00CB6A8D" w:rsidP="00CB6A8D">
      <w:pPr>
        <w:spacing w:line="240" w:lineRule="auto"/>
        <w:rPr>
          <w:rFonts w:ascii="Lato Light" w:hAnsi="Lato Light" w:cstheme="majorHAnsi"/>
          <w:lang w:val="en-US"/>
        </w:rPr>
      </w:pPr>
    </w:p>
    <w:p w14:paraId="6B597FA1" w14:textId="77777777" w:rsidR="00CB6A8D" w:rsidRDefault="00CB6A8D" w:rsidP="00CB6A8D">
      <w:pPr>
        <w:spacing w:line="240" w:lineRule="auto"/>
        <w:rPr>
          <w:rFonts w:ascii="Lato Light" w:hAnsi="Lato Light" w:cstheme="majorHAnsi"/>
          <w:lang w:val="en-US"/>
        </w:rPr>
      </w:pPr>
      <w:r w:rsidRPr="0026522A">
        <w:rPr>
          <w:rFonts w:ascii="Lato Light" w:hAnsi="Lato Light" w:cstheme="majorHAnsi"/>
          <w:lang w:val="en-US"/>
        </w:rPr>
        <w:t xml:space="preserve">Regardless of </w:t>
      </w:r>
      <w:r>
        <w:rPr>
          <w:rFonts w:ascii="Lato Light" w:hAnsi="Lato Light" w:cstheme="majorHAnsi"/>
          <w:lang w:val="en-US"/>
        </w:rPr>
        <w:t>which</w:t>
      </w:r>
      <w:r w:rsidRPr="0026522A">
        <w:rPr>
          <w:rFonts w:ascii="Lato Light" w:hAnsi="Lato Light" w:cstheme="majorHAnsi"/>
          <w:lang w:val="en-US"/>
        </w:rPr>
        <w:t xml:space="preserve"> category employees fall under, the recipient must be told of the significance of the document and of the right to request and obtain a paper version. In other words, the employer needs to </w:t>
      </w:r>
      <w:r w:rsidRPr="0026522A">
        <w:rPr>
          <w:rFonts w:ascii="Lato Light" w:hAnsi="Lato Light" w:cstheme="majorHAnsi"/>
          <w:lang w:val="en-US"/>
        </w:rPr>
        <w:lastRenderedPageBreak/>
        <w:t xml:space="preserve">tell them what it is and how to ask for a paper copy. They should not, under any circumstance, just post the </w:t>
      </w:r>
      <w:r>
        <w:rPr>
          <w:rFonts w:ascii="Lato Light" w:hAnsi="Lato Light" w:cstheme="majorHAnsi"/>
          <w:lang w:val="en-US"/>
        </w:rPr>
        <w:t xml:space="preserve">notices or </w:t>
      </w:r>
      <w:r w:rsidRPr="0026522A">
        <w:rPr>
          <w:rFonts w:ascii="Lato Light" w:hAnsi="Lato Light" w:cstheme="majorHAnsi"/>
          <w:lang w:val="en-US"/>
        </w:rPr>
        <w:t>SPD to a company website</w:t>
      </w:r>
      <w:r>
        <w:rPr>
          <w:rFonts w:ascii="Lato Light" w:hAnsi="Lato Light" w:cstheme="majorHAnsi"/>
          <w:lang w:val="en-US"/>
        </w:rPr>
        <w:t xml:space="preserve"> or shared portal</w:t>
      </w:r>
      <w:r w:rsidRPr="0026522A">
        <w:rPr>
          <w:rFonts w:ascii="Lato Light" w:hAnsi="Lato Light" w:cstheme="majorHAnsi"/>
          <w:lang w:val="en-US"/>
        </w:rPr>
        <w:t xml:space="preserve"> without taking measures to ensure actual receipt.  </w:t>
      </w:r>
    </w:p>
    <w:p w14:paraId="2BBF17DC" w14:textId="77777777" w:rsidR="003D1808" w:rsidRPr="00AD3EA2" w:rsidRDefault="003D1808" w:rsidP="00AD3EA2">
      <w:pPr>
        <w:spacing w:line="240" w:lineRule="auto"/>
        <w:rPr>
          <w:rFonts w:ascii="Lato Light" w:hAnsi="Lato Light" w:cstheme="majorHAnsi"/>
          <w:lang w:val="en-US"/>
        </w:rPr>
      </w:pPr>
    </w:p>
    <w:p w14:paraId="113A6A81" w14:textId="5AA67991" w:rsidR="001F423C" w:rsidRDefault="001F423C" w:rsidP="00621331">
      <w:pPr>
        <w:spacing w:line="240" w:lineRule="auto"/>
        <w:rPr>
          <w:rFonts w:ascii="Lato Light" w:hAnsi="Lato Light" w:cstheme="majorHAnsi"/>
          <w:b/>
          <w:bCs/>
        </w:rPr>
      </w:pPr>
      <w:r w:rsidRPr="00315692">
        <w:rPr>
          <w:rFonts w:ascii="Lato Light" w:hAnsi="Lato Light" w:cstheme="majorHAnsi"/>
          <w:b/>
          <w:bCs/>
        </w:rPr>
        <w:t>Consequences of Non-</w:t>
      </w:r>
      <w:r w:rsidR="00630C9B">
        <w:rPr>
          <w:rFonts w:ascii="Lato Light" w:hAnsi="Lato Light" w:cstheme="majorHAnsi"/>
          <w:b/>
          <w:bCs/>
        </w:rPr>
        <w:t>C</w:t>
      </w:r>
      <w:r w:rsidRPr="00315692">
        <w:rPr>
          <w:rFonts w:ascii="Lato Light" w:hAnsi="Lato Light" w:cstheme="majorHAnsi"/>
          <w:b/>
          <w:bCs/>
        </w:rPr>
        <w:t>ompliance:</w:t>
      </w:r>
    </w:p>
    <w:p w14:paraId="69C40EC7" w14:textId="77777777" w:rsidR="002F7D30" w:rsidRDefault="002F7D30" w:rsidP="00621331">
      <w:pPr>
        <w:spacing w:line="240" w:lineRule="auto"/>
        <w:rPr>
          <w:rFonts w:ascii="Lato Light" w:hAnsi="Lato Light" w:cstheme="majorHAnsi"/>
          <w:b/>
          <w:bCs/>
        </w:rPr>
      </w:pPr>
    </w:p>
    <w:p w14:paraId="2034160A" w14:textId="5BD8A540" w:rsidR="002F7D30" w:rsidRDefault="002F7D30" w:rsidP="00621331">
      <w:pPr>
        <w:spacing w:line="240" w:lineRule="auto"/>
        <w:rPr>
          <w:rFonts w:ascii="Lato Light" w:hAnsi="Lato Light" w:cstheme="majorHAnsi"/>
        </w:rPr>
      </w:pPr>
      <w:r>
        <w:rPr>
          <w:rFonts w:ascii="Lato Light" w:hAnsi="Lato Light" w:cstheme="majorHAnsi"/>
        </w:rPr>
        <w:t>Several notices and disclosures carry potential fines for violations:</w:t>
      </w:r>
    </w:p>
    <w:p w14:paraId="6CC33E2A" w14:textId="77777777" w:rsidR="002F7D30" w:rsidRDefault="002F7D30" w:rsidP="002F7D30">
      <w:pPr>
        <w:pStyle w:val="ListParagraph"/>
        <w:numPr>
          <w:ilvl w:val="0"/>
          <w:numId w:val="20"/>
        </w:numPr>
        <w:spacing w:line="240" w:lineRule="auto"/>
        <w:rPr>
          <w:rFonts w:ascii="Lato Light" w:hAnsi="Lato Light" w:cstheme="majorHAnsi"/>
        </w:rPr>
      </w:pPr>
      <w:r w:rsidRPr="002F7D30">
        <w:rPr>
          <w:rFonts w:ascii="Lato Light" w:hAnsi="Lato Light" w:cstheme="majorHAnsi"/>
        </w:rPr>
        <w:t xml:space="preserve">Potential fine up to $110 per day for failure to provide written requested ERISA plan documents, Summary Plan Descriptions, Summary of Material Modifications, etc. within 30 days. </w:t>
      </w:r>
    </w:p>
    <w:p w14:paraId="196B982B" w14:textId="77777777" w:rsidR="002F7D30" w:rsidRDefault="002F7D30" w:rsidP="002F7D30">
      <w:pPr>
        <w:pStyle w:val="ListParagraph"/>
        <w:numPr>
          <w:ilvl w:val="0"/>
          <w:numId w:val="20"/>
        </w:numPr>
        <w:spacing w:line="240" w:lineRule="auto"/>
        <w:rPr>
          <w:rFonts w:ascii="Lato Light" w:hAnsi="Lato Light" w:cstheme="majorHAnsi"/>
        </w:rPr>
      </w:pPr>
      <w:r w:rsidRPr="002F7D30">
        <w:rPr>
          <w:rFonts w:ascii="Lato Light" w:hAnsi="Lato Light" w:cstheme="majorHAnsi"/>
        </w:rPr>
        <w:t xml:space="preserve">Potential fine of up to $190 per day ($1,906 per request) for failure to furnish employee benefit plan documents to the DOL upon request. </w:t>
      </w:r>
    </w:p>
    <w:p w14:paraId="766467BF" w14:textId="50C2430C" w:rsidR="002F7D30" w:rsidRDefault="002F7D30" w:rsidP="002F7D30">
      <w:pPr>
        <w:pStyle w:val="ListParagraph"/>
        <w:numPr>
          <w:ilvl w:val="0"/>
          <w:numId w:val="20"/>
        </w:numPr>
        <w:spacing w:line="240" w:lineRule="auto"/>
        <w:rPr>
          <w:rFonts w:ascii="Lato Light" w:hAnsi="Lato Light" w:cstheme="majorHAnsi"/>
        </w:rPr>
      </w:pPr>
      <w:r>
        <w:rPr>
          <w:rFonts w:ascii="Lato Light" w:hAnsi="Lato Light" w:cstheme="majorHAnsi"/>
        </w:rPr>
        <w:t>Potential fine of $141 per day per participant for f</w:t>
      </w:r>
      <w:r w:rsidRPr="002F7D30">
        <w:rPr>
          <w:rFonts w:ascii="Lato Light" w:hAnsi="Lato Light" w:cstheme="majorHAnsi"/>
        </w:rPr>
        <w:t>ailure to inform employees of Medicaid/CHIP coverage opportunities.</w:t>
      </w:r>
    </w:p>
    <w:p w14:paraId="6D83F9A3" w14:textId="388CAF24" w:rsidR="002F7D30" w:rsidRDefault="002F7D30" w:rsidP="002F7D30">
      <w:pPr>
        <w:pStyle w:val="ListParagraph"/>
        <w:numPr>
          <w:ilvl w:val="0"/>
          <w:numId w:val="20"/>
        </w:numPr>
        <w:spacing w:line="240" w:lineRule="auto"/>
        <w:rPr>
          <w:rFonts w:ascii="Lato Light" w:hAnsi="Lato Light" w:cstheme="majorHAnsi"/>
        </w:rPr>
      </w:pPr>
      <w:r>
        <w:rPr>
          <w:rFonts w:ascii="Lato Light" w:hAnsi="Lato Light" w:cstheme="majorHAnsi"/>
        </w:rPr>
        <w:t>Potential fine of up to $1,406 per failure to provide the summary of benefits and coverage (SBC)</w:t>
      </w:r>
      <w:r w:rsidR="00E31D7C">
        <w:rPr>
          <w:rFonts w:ascii="Lato Light" w:hAnsi="Lato Light" w:cstheme="majorHAnsi"/>
        </w:rPr>
        <w:t>, plus excise taxes under the Code of $100 per day per person to whom the failure relates</w:t>
      </w:r>
      <w:r>
        <w:rPr>
          <w:rFonts w:ascii="Lato Light" w:hAnsi="Lato Light" w:cstheme="majorHAnsi"/>
        </w:rPr>
        <w:t>.</w:t>
      </w:r>
    </w:p>
    <w:p w14:paraId="1BE45F14" w14:textId="77777777" w:rsidR="00E31D7C" w:rsidRDefault="00E31D7C" w:rsidP="002F7D30">
      <w:pPr>
        <w:pStyle w:val="ListParagraph"/>
        <w:numPr>
          <w:ilvl w:val="0"/>
          <w:numId w:val="20"/>
        </w:numPr>
        <w:spacing w:line="240" w:lineRule="auto"/>
        <w:rPr>
          <w:rFonts w:ascii="Lato Light" w:hAnsi="Lato Light" w:cstheme="majorHAnsi"/>
        </w:rPr>
      </w:pPr>
      <w:r>
        <w:rPr>
          <w:rFonts w:ascii="Lato Light" w:hAnsi="Lato Light" w:cstheme="majorHAnsi"/>
        </w:rPr>
        <w:t>Potential fine of up to $100 per person per day also applies for failure to provide:</w:t>
      </w:r>
    </w:p>
    <w:p w14:paraId="2B416504" w14:textId="77777777" w:rsidR="00E31D7C" w:rsidRDefault="00E31D7C" w:rsidP="00E31D7C">
      <w:pPr>
        <w:pStyle w:val="ListParagraph"/>
        <w:numPr>
          <w:ilvl w:val="1"/>
          <w:numId w:val="20"/>
        </w:numPr>
        <w:spacing w:line="240" w:lineRule="auto"/>
        <w:rPr>
          <w:rFonts w:ascii="Lato Light" w:hAnsi="Lato Light" w:cstheme="majorHAnsi"/>
        </w:rPr>
      </w:pPr>
      <w:r>
        <w:rPr>
          <w:rFonts w:ascii="Lato Light" w:hAnsi="Lato Light" w:cstheme="majorHAnsi"/>
        </w:rPr>
        <w:t>Provider Choice notice (if plan requires designating a PCP)</w:t>
      </w:r>
    </w:p>
    <w:p w14:paraId="6A190F6A" w14:textId="77777777" w:rsidR="00E31D7C" w:rsidRDefault="00E31D7C" w:rsidP="00E31D7C">
      <w:pPr>
        <w:pStyle w:val="ListParagraph"/>
        <w:numPr>
          <w:ilvl w:val="1"/>
          <w:numId w:val="20"/>
        </w:numPr>
        <w:spacing w:line="240" w:lineRule="auto"/>
        <w:rPr>
          <w:rFonts w:ascii="Lato Light" w:hAnsi="Lato Light" w:cstheme="majorHAnsi"/>
        </w:rPr>
      </w:pPr>
      <w:r>
        <w:rPr>
          <w:rFonts w:ascii="Lato Light" w:hAnsi="Lato Light" w:cstheme="majorHAnsi"/>
        </w:rPr>
        <w:t>WHCRA annual notice</w:t>
      </w:r>
    </w:p>
    <w:p w14:paraId="723E9250" w14:textId="5066F682" w:rsidR="00E31D7C" w:rsidRDefault="00E31D7C" w:rsidP="00CB6A8D">
      <w:pPr>
        <w:pStyle w:val="ListParagraph"/>
        <w:numPr>
          <w:ilvl w:val="1"/>
          <w:numId w:val="20"/>
        </w:numPr>
        <w:spacing w:line="240" w:lineRule="auto"/>
        <w:rPr>
          <w:rFonts w:ascii="Lato Light" w:hAnsi="Lato Light" w:cstheme="majorHAnsi"/>
        </w:rPr>
      </w:pPr>
      <w:r>
        <w:rPr>
          <w:rFonts w:ascii="Lato Light" w:hAnsi="Lato Light" w:cstheme="majorHAnsi"/>
        </w:rPr>
        <w:t>Hospital Indemnity Notice</w:t>
      </w:r>
    </w:p>
    <w:p w14:paraId="29943AC4" w14:textId="77777777" w:rsidR="00E249A0" w:rsidRDefault="00E31D7C" w:rsidP="00CB6A8D">
      <w:pPr>
        <w:pStyle w:val="ListParagraph"/>
        <w:numPr>
          <w:ilvl w:val="1"/>
          <w:numId w:val="20"/>
        </w:numPr>
        <w:spacing w:line="240" w:lineRule="auto"/>
        <w:rPr>
          <w:rFonts w:ascii="Lato Light" w:hAnsi="Lato Light" w:cstheme="majorHAnsi"/>
        </w:rPr>
      </w:pPr>
      <w:r>
        <w:rPr>
          <w:rFonts w:ascii="Lato Light" w:hAnsi="Lato Light" w:cstheme="majorHAnsi"/>
        </w:rPr>
        <w:t>F</w:t>
      </w:r>
      <w:r w:rsidR="00314186">
        <w:rPr>
          <w:rFonts w:ascii="Lato Light" w:hAnsi="Lato Light" w:cstheme="majorHAnsi"/>
        </w:rPr>
        <w:t>ailure to comply with non-grandfathered plan rules when the plan has failed to disclose grandfathered status</w:t>
      </w:r>
      <w:r>
        <w:rPr>
          <w:rFonts w:ascii="Lato Light" w:hAnsi="Lato Light" w:cstheme="majorHAnsi"/>
        </w:rPr>
        <w:t xml:space="preserve"> (as failing to disclose causes the plan to lose grandfathered status)</w:t>
      </w:r>
      <w:r w:rsidR="00314186">
        <w:rPr>
          <w:rFonts w:ascii="Lato Light" w:hAnsi="Lato Light" w:cstheme="majorHAnsi"/>
        </w:rPr>
        <w:t>.</w:t>
      </w:r>
    </w:p>
    <w:p w14:paraId="4D04958E" w14:textId="4E277DBF" w:rsidR="00E31D7C" w:rsidRPr="00CB6A8D" w:rsidRDefault="00E31D7C" w:rsidP="00CB6A8D">
      <w:pPr>
        <w:pStyle w:val="ListParagraph"/>
        <w:numPr>
          <w:ilvl w:val="1"/>
          <w:numId w:val="20"/>
        </w:numPr>
        <w:spacing w:line="240" w:lineRule="auto"/>
        <w:rPr>
          <w:rFonts w:ascii="Lato Light" w:hAnsi="Lato Light" w:cstheme="majorHAnsi"/>
        </w:rPr>
      </w:pPr>
      <w:r>
        <w:rPr>
          <w:rFonts w:ascii="Lato Light" w:hAnsi="Lato Light" w:cstheme="majorHAnsi"/>
        </w:rPr>
        <w:t xml:space="preserve">HIPAA </w:t>
      </w:r>
      <w:r w:rsidR="00E249A0">
        <w:rPr>
          <w:rFonts w:ascii="Lato Light" w:hAnsi="Lato Light" w:cstheme="majorHAnsi"/>
        </w:rPr>
        <w:t>W</w:t>
      </w:r>
      <w:r>
        <w:rPr>
          <w:rFonts w:ascii="Lato Light" w:hAnsi="Lato Light" w:cstheme="majorHAnsi"/>
        </w:rPr>
        <w:t xml:space="preserve">ellness </w:t>
      </w:r>
      <w:r w:rsidR="00E249A0">
        <w:rPr>
          <w:rFonts w:ascii="Lato Light" w:hAnsi="Lato Light" w:cstheme="majorHAnsi"/>
        </w:rPr>
        <w:t>N</w:t>
      </w:r>
      <w:r>
        <w:rPr>
          <w:rFonts w:ascii="Lato Light" w:hAnsi="Lato Light" w:cstheme="majorHAnsi"/>
        </w:rPr>
        <w:t>otice (also potential lawsuits for failure to disclose wellness plan rules and reasonable alternatives)</w:t>
      </w:r>
    </w:p>
    <w:p w14:paraId="67108C21" w14:textId="77777777" w:rsidR="00E249A0" w:rsidRDefault="00E249A0" w:rsidP="00621331">
      <w:pPr>
        <w:spacing w:line="240" w:lineRule="auto"/>
        <w:rPr>
          <w:rFonts w:ascii="Lato Light" w:hAnsi="Lato Light" w:cstheme="majorHAnsi"/>
          <w:b/>
          <w:bCs/>
        </w:rPr>
      </w:pPr>
    </w:p>
    <w:p w14:paraId="119CF88F" w14:textId="6C0D1792" w:rsidR="002F7D30" w:rsidRPr="002F7D30" w:rsidRDefault="002F7D30" w:rsidP="00621331">
      <w:pPr>
        <w:spacing w:line="240" w:lineRule="auto"/>
        <w:rPr>
          <w:rFonts w:ascii="Lato Light" w:hAnsi="Lato Light" w:cstheme="majorHAnsi"/>
        </w:rPr>
      </w:pPr>
      <w:r w:rsidRPr="002F7D30">
        <w:rPr>
          <w:rFonts w:ascii="Lato Light" w:hAnsi="Lato Light" w:cstheme="majorHAnsi"/>
        </w:rPr>
        <w:t>While there is</w:t>
      </w:r>
      <w:r w:rsidR="00E249A0">
        <w:rPr>
          <w:rFonts w:ascii="Lato Light" w:hAnsi="Lato Light" w:cstheme="majorHAnsi"/>
        </w:rPr>
        <w:t xml:space="preserve"> not</w:t>
      </w:r>
      <w:r w:rsidRPr="002F7D30">
        <w:rPr>
          <w:rFonts w:ascii="Lato Light" w:hAnsi="Lato Light" w:cstheme="majorHAnsi"/>
        </w:rPr>
        <w:t xml:space="preserve"> a direct penalty outlined for not complying with the DOL electronic safe harbor rule for health and welfare plans, failing to properly distribute plan documents electronically can result in enforcement actions from the DOL, including potential penalties of up to $110 per day if a participant requests a document and it is</w:t>
      </w:r>
      <w:r w:rsidR="00E249A0">
        <w:rPr>
          <w:rFonts w:ascii="Lato Light" w:hAnsi="Lato Light" w:cstheme="majorHAnsi"/>
        </w:rPr>
        <w:t xml:space="preserve"> not </w:t>
      </w:r>
      <w:r w:rsidRPr="002F7D30">
        <w:rPr>
          <w:rFonts w:ascii="Lato Light" w:hAnsi="Lato Light" w:cstheme="majorHAnsi"/>
        </w:rPr>
        <w:t>provided</w:t>
      </w:r>
      <w:r>
        <w:rPr>
          <w:rFonts w:ascii="Lato Light" w:hAnsi="Lato Light" w:cstheme="majorHAnsi"/>
        </w:rPr>
        <w:t xml:space="preserve"> a copy</w:t>
      </w:r>
      <w:r w:rsidRPr="002F7D30">
        <w:rPr>
          <w:rFonts w:ascii="Lato Light" w:hAnsi="Lato Light" w:cstheme="majorHAnsi"/>
        </w:rPr>
        <w:t xml:space="preserve"> within 30 days; this could significantly impact an employer's ability to defend benefit claims in a lawsuit due to improper disclosure. </w:t>
      </w:r>
    </w:p>
    <w:p w14:paraId="5C1CA987" w14:textId="77777777" w:rsidR="001F423C" w:rsidRPr="00315692" w:rsidRDefault="001F423C" w:rsidP="00621331">
      <w:pPr>
        <w:spacing w:line="240" w:lineRule="auto"/>
        <w:rPr>
          <w:rFonts w:ascii="Lato Light" w:hAnsi="Lato Light" w:cstheme="majorHAnsi"/>
          <w:b/>
          <w:bCs/>
        </w:rPr>
      </w:pPr>
    </w:p>
    <w:p w14:paraId="4BD91335" w14:textId="6071D3CD" w:rsidR="001F423C" w:rsidRPr="00315692" w:rsidRDefault="001F423C" w:rsidP="00621331">
      <w:pPr>
        <w:spacing w:line="240" w:lineRule="auto"/>
        <w:rPr>
          <w:rFonts w:ascii="Lato Light" w:hAnsi="Lato Light" w:cstheme="majorHAnsi"/>
          <w:b/>
          <w:bCs/>
        </w:rPr>
      </w:pPr>
      <w:r w:rsidRPr="00315692">
        <w:rPr>
          <w:rFonts w:ascii="Lato Light" w:hAnsi="Lato Light" w:cstheme="majorHAnsi"/>
          <w:b/>
          <w:bCs/>
        </w:rPr>
        <w:t>Practical Implications for Employers:</w:t>
      </w:r>
    </w:p>
    <w:p w14:paraId="00000010" w14:textId="77777777" w:rsidR="0001489F" w:rsidRPr="00315692" w:rsidRDefault="0001489F" w:rsidP="00621331">
      <w:pPr>
        <w:spacing w:line="240" w:lineRule="auto"/>
        <w:rPr>
          <w:rFonts w:ascii="Lato Light" w:hAnsi="Lato Light" w:cstheme="majorHAnsi"/>
        </w:rPr>
      </w:pPr>
    </w:p>
    <w:p w14:paraId="25404F32" w14:textId="4D4E2610" w:rsidR="00940A20" w:rsidRDefault="00940A20" w:rsidP="00055E48">
      <w:pPr>
        <w:spacing w:line="240" w:lineRule="auto"/>
        <w:rPr>
          <w:rFonts w:ascii="Lato Light" w:hAnsi="Lato Light" w:cstheme="majorHAnsi"/>
        </w:rPr>
      </w:pPr>
      <w:r>
        <w:rPr>
          <w:rFonts w:ascii="Lato Light" w:hAnsi="Lato Light" w:cstheme="majorHAnsi"/>
        </w:rPr>
        <w:t xml:space="preserve">Employers need to review their enrollment materials and ensure all applicable notices are provided to employees and other participants (e.g., COBRA qualified beneficiaries and covered retirees). Notices should be reviewed, kept up to date and refreshed at least once per year. </w:t>
      </w:r>
    </w:p>
    <w:p w14:paraId="1E6C5867" w14:textId="77777777" w:rsidR="00940A20" w:rsidRDefault="00940A20" w:rsidP="00055E48">
      <w:pPr>
        <w:spacing w:line="240" w:lineRule="auto"/>
        <w:rPr>
          <w:rFonts w:ascii="Lato Light" w:hAnsi="Lato Light" w:cstheme="majorHAnsi"/>
        </w:rPr>
      </w:pPr>
    </w:p>
    <w:p w14:paraId="043473C1" w14:textId="523EB0C9" w:rsidR="007A112D" w:rsidRPr="00315692" w:rsidRDefault="00940A20" w:rsidP="00055E48">
      <w:pPr>
        <w:spacing w:line="240" w:lineRule="auto"/>
        <w:rPr>
          <w:rFonts w:ascii="Lato Light" w:hAnsi="Lato Light" w:cstheme="majorHAnsi"/>
        </w:rPr>
      </w:pPr>
      <w:r>
        <w:rPr>
          <w:rFonts w:ascii="Lato Light" w:hAnsi="Lato Light" w:cstheme="majorHAnsi"/>
        </w:rPr>
        <w:t>Also, employers relying on the DOL electronic disclosure safe harbor should k</w:t>
      </w:r>
      <w:r w:rsidRPr="00940A20">
        <w:rPr>
          <w:rFonts w:ascii="Lato Light" w:hAnsi="Lato Light" w:cstheme="majorHAnsi"/>
        </w:rPr>
        <w:t xml:space="preserve">eep records of when and how </w:t>
      </w:r>
      <w:r>
        <w:rPr>
          <w:rFonts w:ascii="Lato Light" w:hAnsi="Lato Light" w:cstheme="majorHAnsi"/>
        </w:rPr>
        <w:t xml:space="preserve">notices and </w:t>
      </w:r>
      <w:r w:rsidRPr="00940A20">
        <w:rPr>
          <w:rFonts w:ascii="Lato Light" w:hAnsi="Lato Light" w:cstheme="majorHAnsi"/>
        </w:rPr>
        <w:t>plan documents were electronically delivered to participants.</w:t>
      </w:r>
      <w:r w:rsidRPr="00940A20">
        <w:rPr>
          <w:rFonts w:ascii="Roboto" w:hAnsi="Roboto"/>
          <w:color w:val="545D7E"/>
          <w:spacing w:val="2"/>
          <w:shd w:val="clear" w:color="auto" w:fill="FFFFFF"/>
        </w:rPr>
        <w:t xml:space="preserve"> </w:t>
      </w:r>
      <w:r w:rsidRPr="00940A20">
        <w:rPr>
          <w:rFonts w:ascii="Lato Light" w:hAnsi="Lato Light" w:cstheme="majorHAnsi"/>
        </w:rPr>
        <w:t>This includes verifying that employees have adequate access to electronic documents and providing proper notice</w:t>
      </w:r>
      <w:r>
        <w:rPr>
          <w:rFonts w:ascii="Lato Light" w:hAnsi="Lato Light" w:cstheme="majorHAnsi"/>
        </w:rPr>
        <w:t>/consent</w:t>
      </w:r>
      <w:r w:rsidRPr="00940A20">
        <w:rPr>
          <w:rFonts w:ascii="Lato Light" w:hAnsi="Lato Light" w:cstheme="majorHAnsi"/>
        </w:rPr>
        <w:t xml:space="preserve"> regarding electronic delivery.</w:t>
      </w:r>
      <w:r w:rsidRPr="00940A20">
        <w:rPr>
          <w:rFonts w:ascii="Roboto" w:hAnsi="Roboto"/>
          <w:color w:val="545D7E"/>
          <w:spacing w:val="2"/>
          <w:shd w:val="clear" w:color="auto" w:fill="FFFFFF"/>
        </w:rPr>
        <w:t xml:space="preserve"> </w:t>
      </w:r>
      <w:r>
        <w:rPr>
          <w:rFonts w:ascii="Lato Light" w:hAnsi="Lato Light" w:cstheme="majorHAnsi"/>
        </w:rPr>
        <w:t>If</w:t>
      </w:r>
      <w:r w:rsidRPr="00940A20">
        <w:rPr>
          <w:rFonts w:ascii="Lato Light" w:hAnsi="Lato Light" w:cstheme="majorHAnsi"/>
        </w:rPr>
        <w:t xml:space="preserve"> an employee requests a plan document, provide it within the 30-day timeframe to avoid daily penalties</w:t>
      </w:r>
      <w:r>
        <w:rPr>
          <w:rFonts w:ascii="Lato Light" w:hAnsi="Lato Light" w:cstheme="majorHAnsi"/>
        </w:rPr>
        <w:t>.</w:t>
      </w:r>
    </w:p>
    <w:sectPr w:rsidR="007A112D" w:rsidRPr="00315692" w:rsidSect="00315692">
      <w:headerReference w:type="default" r:id="rId8"/>
      <w:pgSz w:w="12240" w:h="15840"/>
      <w:pgMar w:top="1080" w:right="1080" w:bottom="108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03F34" w14:textId="77777777" w:rsidR="003B21CC" w:rsidRDefault="003B21CC" w:rsidP="005A4439">
      <w:pPr>
        <w:spacing w:line="240" w:lineRule="auto"/>
      </w:pPr>
      <w:r>
        <w:separator/>
      </w:r>
    </w:p>
  </w:endnote>
  <w:endnote w:type="continuationSeparator" w:id="0">
    <w:p w14:paraId="1B03AED9" w14:textId="77777777" w:rsidR="003B21CC" w:rsidRDefault="003B21CC" w:rsidP="005A4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F8293" w14:textId="77777777" w:rsidR="003B21CC" w:rsidRDefault="003B21CC" w:rsidP="005A4439">
      <w:pPr>
        <w:spacing w:line="240" w:lineRule="auto"/>
      </w:pPr>
      <w:r>
        <w:separator/>
      </w:r>
    </w:p>
  </w:footnote>
  <w:footnote w:type="continuationSeparator" w:id="0">
    <w:p w14:paraId="5CE60F85" w14:textId="77777777" w:rsidR="003B21CC" w:rsidRDefault="003B21CC" w:rsidP="005A4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0660" w14:textId="6F62FF50" w:rsidR="005A4439" w:rsidRPr="001F423C" w:rsidRDefault="005B04D9" w:rsidP="00315692">
    <w:pPr>
      <w:rPr>
        <w:rFonts w:ascii="Calibri" w:hAnsi="Calibri" w:cs="Calibri"/>
        <w:b/>
        <w:sz w:val="28"/>
        <w:szCs w:val="28"/>
      </w:rPr>
    </w:pPr>
    <w:r>
      <w:rPr>
        <w:noProof/>
      </w:rPr>
      <w:drawing>
        <wp:inline distT="0" distB="0" distL="0" distR="0" wp14:anchorId="65D015A1" wp14:editId="7ADAA9EF">
          <wp:extent cx="1628140" cy="661670"/>
          <wp:effectExtent l="0" t="0" r="0" b="5080"/>
          <wp:docPr id="873937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37297"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2814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F64"/>
    <w:multiLevelType w:val="multilevel"/>
    <w:tmpl w:val="1D4AE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65632"/>
    <w:multiLevelType w:val="hybridMultilevel"/>
    <w:tmpl w:val="107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62B"/>
    <w:multiLevelType w:val="multilevel"/>
    <w:tmpl w:val="6128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A3712"/>
    <w:multiLevelType w:val="multilevel"/>
    <w:tmpl w:val="284C2FE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7637A7"/>
    <w:multiLevelType w:val="hybridMultilevel"/>
    <w:tmpl w:val="C56AE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7515B"/>
    <w:multiLevelType w:val="multilevel"/>
    <w:tmpl w:val="A8569214"/>
    <w:lvl w:ilvl="0">
      <w:start w:val="1"/>
      <w:numFmt w:val="bullet"/>
      <w:lvlText w:val="●"/>
      <w:lvlJc w:val="left"/>
      <w:pPr>
        <w:ind w:left="720" w:hanging="360"/>
      </w:pPr>
      <w:rPr>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BD142D"/>
    <w:multiLevelType w:val="hybridMultilevel"/>
    <w:tmpl w:val="C3DE9DEC"/>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31790"/>
    <w:multiLevelType w:val="hybridMultilevel"/>
    <w:tmpl w:val="375E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B4E19"/>
    <w:multiLevelType w:val="multilevel"/>
    <w:tmpl w:val="D97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C3364F"/>
    <w:multiLevelType w:val="hybridMultilevel"/>
    <w:tmpl w:val="47F8838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A7D28"/>
    <w:multiLevelType w:val="hybridMultilevel"/>
    <w:tmpl w:val="38904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B19A9"/>
    <w:multiLevelType w:val="hybridMultilevel"/>
    <w:tmpl w:val="2BE4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E3709"/>
    <w:multiLevelType w:val="hybridMultilevel"/>
    <w:tmpl w:val="C56A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6A1B2E"/>
    <w:multiLevelType w:val="multilevel"/>
    <w:tmpl w:val="F5A0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B3B309A"/>
    <w:multiLevelType w:val="multilevel"/>
    <w:tmpl w:val="8898A8EC"/>
    <w:lvl w:ilvl="0">
      <w:start w:val="1"/>
      <w:numFmt w:val="bullet"/>
      <w:lvlText w:val=""/>
      <w:lvlJc w:val="left"/>
      <w:pPr>
        <w:ind w:left="720" w:hanging="360"/>
      </w:pPr>
      <w:rPr>
        <w:rFonts w:ascii="Wingdings" w:hAnsi="Wingdings" w:hint="default"/>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BE5D0B"/>
    <w:multiLevelType w:val="multilevel"/>
    <w:tmpl w:val="2794C0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4B7211"/>
    <w:multiLevelType w:val="multilevel"/>
    <w:tmpl w:val="E808323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8DA0D49"/>
    <w:multiLevelType w:val="multilevel"/>
    <w:tmpl w:val="C616C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33767E"/>
    <w:multiLevelType w:val="hybridMultilevel"/>
    <w:tmpl w:val="25688816"/>
    <w:lvl w:ilvl="0" w:tplc="0DB8AA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E4386"/>
    <w:multiLevelType w:val="multilevel"/>
    <w:tmpl w:val="2CA2D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580984">
    <w:abstractNumId w:val="8"/>
  </w:num>
  <w:num w:numId="2" w16cid:durableId="1440952817">
    <w:abstractNumId w:val="15"/>
  </w:num>
  <w:num w:numId="3" w16cid:durableId="952438708">
    <w:abstractNumId w:val="17"/>
  </w:num>
  <w:num w:numId="4" w16cid:durableId="191656106">
    <w:abstractNumId w:val="1"/>
  </w:num>
  <w:num w:numId="5" w16cid:durableId="1681813447">
    <w:abstractNumId w:val="18"/>
  </w:num>
  <w:num w:numId="6" w16cid:durableId="1637567862">
    <w:abstractNumId w:val="4"/>
  </w:num>
  <w:num w:numId="7" w16cid:durableId="515462194">
    <w:abstractNumId w:val="12"/>
  </w:num>
  <w:num w:numId="8" w16cid:durableId="244992502">
    <w:abstractNumId w:val="7"/>
  </w:num>
  <w:num w:numId="9" w16cid:durableId="743258463">
    <w:abstractNumId w:val="11"/>
  </w:num>
  <w:num w:numId="10" w16cid:durableId="672486813">
    <w:abstractNumId w:val="6"/>
  </w:num>
  <w:num w:numId="11" w16cid:durableId="1184242015">
    <w:abstractNumId w:val="5"/>
  </w:num>
  <w:num w:numId="12" w16cid:durableId="887184819">
    <w:abstractNumId w:val="13"/>
  </w:num>
  <w:num w:numId="13" w16cid:durableId="1843661974">
    <w:abstractNumId w:val="3"/>
  </w:num>
  <w:num w:numId="14" w16cid:durableId="1992051868">
    <w:abstractNumId w:val="10"/>
  </w:num>
  <w:num w:numId="15" w16cid:durableId="1219170210">
    <w:abstractNumId w:val="16"/>
  </w:num>
  <w:num w:numId="16" w16cid:durableId="242882409">
    <w:abstractNumId w:val="14"/>
  </w:num>
  <w:num w:numId="17" w16cid:durableId="955253311">
    <w:abstractNumId w:val="19"/>
  </w:num>
  <w:num w:numId="18" w16cid:durableId="280654435">
    <w:abstractNumId w:val="2"/>
  </w:num>
  <w:num w:numId="19" w16cid:durableId="366299461">
    <w:abstractNumId w:val="0"/>
  </w:num>
  <w:num w:numId="20" w16cid:durableId="973560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9F"/>
    <w:rsid w:val="00005C05"/>
    <w:rsid w:val="0001489F"/>
    <w:rsid w:val="00026685"/>
    <w:rsid w:val="00055E48"/>
    <w:rsid w:val="0006201D"/>
    <w:rsid w:val="000D6740"/>
    <w:rsid w:val="000E02DA"/>
    <w:rsid w:val="000F24A8"/>
    <w:rsid w:val="000F39E4"/>
    <w:rsid w:val="001017A6"/>
    <w:rsid w:val="00112CDF"/>
    <w:rsid w:val="00142B5A"/>
    <w:rsid w:val="0017297A"/>
    <w:rsid w:val="001F423C"/>
    <w:rsid w:val="001F5E90"/>
    <w:rsid w:val="00243BAC"/>
    <w:rsid w:val="00246B3C"/>
    <w:rsid w:val="00260A87"/>
    <w:rsid w:val="0026522A"/>
    <w:rsid w:val="00287D0A"/>
    <w:rsid w:val="002A1822"/>
    <w:rsid w:val="002A7BDF"/>
    <w:rsid w:val="002A7F61"/>
    <w:rsid w:val="002E0606"/>
    <w:rsid w:val="002F7D30"/>
    <w:rsid w:val="00307364"/>
    <w:rsid w:val="00314186"/>
    <w:rsid w:val="00315692"/>
    <w:rsid w:val="00371EAA"/>
    <w:rsid w:val="003B21CC"/>
    <w:rsid w:val="003C0400"/>
    <w:rsid w:val="003C50B9"/>
    <w:rsid w:val="003D1808"/>
    <w:rsid w:val="003E6776"/>
    <w:rsid w:val="0040317E"/>
    <w:rsid w:val="0043184F"/>
    <w:rsid w:val="00433C3C"/>
    <w:rsid w:val="00462954"/>
    <w:rsid w:val="00486CA7"/>
    <w:rsid w:val="00486D7D"/>
    <w:rsid w:val="004960B9"/>
    <w:rsid w:val="004E51A8"/>
    <w:rsid w:val="004E5CDB"/>
    <w:rsid w:val="004F3519"/>
    <w:rsid w:val="005329C6"/>
    <w:rsid w:val="00572699"/>
    <w:rsid w:val="005A4439"/>
    <w:rsid w:val="005B04D9"/>
    <w:rsid w:val="005B336F"/>
    <w:rsid w:val="005D35A5"/>
    <w:rsid w:val="005F0883"/>
    <w:rsid w:val="00603B6D"/>
    <w:rsid w:val="00616C4B"/>
    <w:rsid w:val="00621331"/>
    <w:rsid w:val="00630C9B"/>
    <w:rsid w:val="006405C5"/>
    <w:rsid w:val="00680EC9"/>
    <w:rsid w:val="00696F24"/>
    <w:rsid w:val="006D1381"/>
    <w:rsid w:val="00715E9E"/>
    <w:rsid w:val="00716CB4"/>
    <w:rsid w:val="00736C5E"/>
    <w:rsid w:val="00737B24"/>
    <w:rsid w:val="00751B1E"/>
    <w:rsid w:val="007A112D"/>
    <w:rsid w:val="007D5227"/>
    <w:rsid w:val="007E0488"/>
    <w:rsid w:val="007F5507"/>
    <w:rsid w:val="008646AA"/>
    <w:rsid w:val="008E1AD7"/>
    <w:rsid w:val="009174A3"/>
    <w:rsid w:val="00927E7F"/>
    <w:rsid w:val="00940A20"/>
    <w:rsid w:val="00983EDC"/>
    <w:rsid w:val="009A39FF"/>
    <w:rsid w:val="00A34C27"/>
    <w:rsid w:val="00A54A51"/>
    <w:rsid w:val="00A55C78"/>
    <w:rsid w:val="00A57A24"/>
    <w:rsid w:val="00AD3EA2"/>
    <w:rsid w:val="00B23DDA"/>
    <w:rsid w:val="00B5628F"/>
    <w:rsid w:val="00BA06D8"/>
    <w:rsid w:val="00C342B0"/>
    <w:rsid w:val="00C5131E"/>
    <w:rsid w:val="00C9480E"/>
    <w:rsid w:val="00CA109F"/>
    <w:rsid w:val="00CB43AE"/>
    <w:rsid w:val="00CB6A8D"/>
    <w:rsid w:val="00CD2B20"/>
    <w:rsid w:val="00CD3682"/>
    <w:rsid w:val="00CF5297"/>
    <w:rsid w:val="00D35A6F"/>
    <w:rsid w:val="00D60D16"/>
    <w:rsid w:val="00D62829"/>
    <w:rsid w:val="00D97F35"/>
    <w:rsid w:val="00DA18CA"/>
    <w:rsid w:val="00DB11A8"/>
    <w:rsid w:val="00DB677B"/>
    <w:rsid w:val="00DE091A"/>
    <w:rsid w:val="00DF5DA8"/>
    <w:rsid w:val="00E17AAE"/>
    <w:rsid w:val="00E249A0"/>
    <w:rsid w:val="00E26AD8"/>
    <w:rsid w:val="00E31D7C"/>
    <w:rsid w:val="00E329FB"/>
    <w:rsid w:val="00E330A9"/>
    <w:rsid w:val="00E54E89"/>
    <w:rsid w:val="00E75B4F"/>
    <w:rsid w:val="00EC2F69"/>
    <w:rsid w:val="00F40B31"/>
    <w:rsid w:val="00F53EDA"/>
    <w:rsid w:val="00FB2432"/>
    <w:rsid w:val="00FE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DC60"/>
  <w15:docId w15:val="{B8FC7F4D-FD94-42E5-9E14-EE205232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4439"/>
    <w:pPr>
      <w:tabs>
        <w:tab w:val="center" w:pos="4680"/>
        <w:tab w:val="right" w:pos="9360"/>
      </w:tabs>
      <w:spacing w:line="240" w:lineRule="auto"/>
    </w:pPr>
  </w:style>
  <w:style w:type="character" w:customStyle="1" w:styleId="HeaderChar">
    <w:name w:val="Header Char"/>
    <w:basedOn w:val="DefaultParagraphFont"/>
    <w:link w:val="Header"/>
    <w:uiPriority w:val="99"/>
    <w:rsid w:val="005A4439"/>
  </w:style>
  <w:style w:type="paragraph" w:styleId="Footer">
    <w:name w:val="footer"/>
    <w:basedOn w:val="Normal"/>
    <w:link w:val="FooterChar"/>
    <w:uiPriority w:val="99"/>
    <w:unhideWhenUsed/>
    <w:rsid w:val="005A4439"/>
    <w:pPr>
      <w:tabs>
        <w:tab w:val="center" w:pos="4680"/>
        <w:tab w:val="right" w:pos="9360"/>
      </w:tabs>
      <w:spacing w:line="240" w:lineRule="auto"/>
    </w:pPr>
  </w:style>
  <w:style w:type="character" w:customStyle="1" w:styleId="FooterChar">
    <w:name w:val="Footer Char"/>
    <w:basedOn w:val="DefaultParagraphFont"/>
    <w:link w:val="Footer"/>
    <w:uiPriority w:val="99"/>
    <w:rsid w:val="005A4439"/>
  </w:style>
  <w:style w:type="paragraph" w:styleId="ListParagraph">
    <w:name w:val="List Paragraph"/>
    <w:basedOn w:val="Normal"/>
    <w:uiPriority w:val="34"/>
    <w:qFormat/>
    <w:rsid w:val="00E75B4F"/>
    <w:pPr>
      <w:ind w:left="720"/>
      <w:contextualSpacing/>
    </w:pPr>
  </w:style>
  <w:style w:type="character" w:styleId="Hyperlink">
    <w:name w:val="Hyperlink"/>
    <w:basedOn w:val="DefaultParagraphFont"/>
    <w:uiPriority w:val="99"/>
    <w:unhideWhenUsed/>
    <w:rsid w:val="001F423C"/>
    <w:rPr>
      <w:color w:val="0000FF" w:themeColor="hyperlink"/>
      <w:u w:val="single"/>
    </w:rPr>
  </w:style>
  <w:style w:type="character" w:styleId="UnresolvedMention">
    <w:name w:val="Unresolved Mention"/>
    <w:basedOn w:val="DefaultParagraphFont"/>
    <w:uiPriority w:val="99"/>
    <w:semiHidden/>
    <w:unhideWhenUsed/>
    <w:rsid w:val="001F423C"/>
    <w:rPr>
      <w:color w:val="605E5C"/>
      <w:shd w:val="clear" w:color="auto" w:fill="E1DFDD"/>
    </w:rPr>
  </w:style>
  <w:style w:type="character" w:styleId="FollowedHyperlink">
    <w:name w:val="FollowedHyperlink"/>
    <w:basedOn w:val="DefaultParagraphFont"/>
    <w:uiPriority w:val="99"/>
    <w:semiHidden/>
    <w:unhideWhenUsed/>
    <w:rsid w:val="00C342B0"/>
    <w:rPr>
      <w:color w:val="800080" w:themeColor="followedHyperlink"/>
      <w:u w:val="single"/>
    </w:rPr>
  </w:style>
  <w:style w:type="paragraph" w:styleId="Revision">
    <w:name w:val="Revision"/>
    <w:hidden/>
    <w:uiPriority w:val="99"/>
    <w:semiHidden/>
    <w:rsid w:val="00B23DDA"/>
    <w:pPr>
      <w:spacing w:line="240" w:lineRule="auto"/>
    </w:pPr>
  </w:style>
  <w:style w:type="character" w:styleId="CommentReference">
    <w:name w:val="annotation reference"/>
    <w:basedOn w:val="DefaultParagraphFont"/>
    <w:uiPriority w:val="99"/>
    <w:semiHidden/>
    <w:unhideWhenUsed/>
    <w:rsid w:val="00B23DDA"/>
    <w:rPr>
      <w:sz w:val="16"/>
      <w:szCs w:val="16"/>
    </w:rPr>
  </w:style>
  <w:style w:type="paragraph" w:styleId="CommentText">
    <w:name w:val="annotation text"/>
    <w:basedOn w:val="Normal"/>
    <w:link w:val="CommentTextChar"/>
    <w:uiPriority w:val="99"/>
    <w:unhideWhenUsed/>
    <w:rsid w:val="00B23DDA"/>
    <w:pPr>
      <w:spacing w:line="240" w:lineRule="auto"/>
    </w:pPr>
    <w:rPr>
      <w:sz w:val="20"/>
      <w:szCs w:val="20"/>
    </w:rPr>
  </w:style>
  <w:style w:type="character" w:customStyle="1" w:styleId="CommentTextChar">
    <w:name w:val="Comment Text Char"/>
    <w:basedOn w:val="DefaultParagraphFont"/>
    <w:link w:val="CommentText"/>
    <w:uiPriority w:val="99"/>
    <w:rsid w:val="00B23DDA"/>
    <w:rPr>
      <w:sz w:val="20"/>
      <w:szCs w:val="20"/>
    </w:rPr>
  </w:style>
  <w:style w:type="paragraph" w:styleId="CommentSubject">
    <w:name w:val="annotation subject"/>
    <w:basedOn w:val="CommentText"/>
    <w:next w:val="CommentText"/>
    <w:link w:val="CommentSubjectChar"/>
    <w:uiPriority w:val="99"/>
    <w:semiHidden/>
    <w:unhideWhenUsed/>
    <w:rsid w:val="00B23DDA"/>
    <w:rPr>
      <w:b/>
      <w:bCs/>
    </w:rPr>
  </w:style>
  <w:style w:type="character" w:customStyle="1" w:styleId="CommentSubjectChar">
    <w:name w:val="Comment Subject Char"/>
    <w:basedOn w:val="CommentTextChar"/>
    <w:link w:val="CommentSubject"/>
    <w:uiPriority w:val="99"/>
    <w:semiHidden/>
    <w:rsid w:val="00B23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275">
      <w:bodyDiv w:val="1"/>
      <w:marLeft w:val="0"/>
      <w:marRight w:val="0"/>
      <w:marTop w:val="0"/>
      <w:marBottom w:val="0"/>
      <w:divBdr>
        <w:top w:val="none" w:sz="0" w:space="0" w:color="auto"/>
        <w:left w:val="none" w:sz="0" w:space="0" w:color="auto"/>
        <w:bottom w:val="none" w:sz="0" w:space="0" w:color="auto"/>
        <w:right w:val="none" w:sz="0" w:space="0" w:color="auto"/>
      </w:divBdr>
      <w:divsChild>
        <w:div w:id="1921523808">
          <w:marLeft w:val="0"/>
          <w:marRight w:val="0"/>
          <w:marTop w:val="0"/>
          <w:marBottom w:val="0"/>
          <w:divBdr>
            <w:top w:val="none" w:sz="0" w:space="0" w:color="auto"/>
            <w:left w:val="none" w:sz="0" w:space="0" w:color="auto"/>
            <w:bottom w:val="none" w:sz="0" w:space="0" w:color="auto"/>
            <w:right w:val="none" w:sz="0" w:space="0" w:color="auto"/>
          </w:divBdr>
        </w:div>
        <w:div w:id="37709357">
          <w:marLeft w:val="0"/>
          <w:marRight w:val="0"/>
          <w:marTop w:val="0"/>
          <w:marBottom w:val="0"/>
          <w:divBdr>
            <w:top w:val="none" w:sz="0" w:space="0" w:color="auto"/>
            <w:left w:val="none" w:sz="0" w:space="0" w:color="auto"/>
            <w:bottom w:val="none" w:sz="0" w:space="0" w:color="auto"/>
            <w:right w:val="none" w:sz="0" w:space="0" w:color="auto"/>
          </w:divBdr>
        </w:div>
      </w:divsChild>
    </w:div>
    <w:div w:id="1030762010">
      <w:bodyDiv w:val="1"/>
      <w:marLeft w:val="0"/>
      <w:marRight w:val="0"/>
      <w:marTop w:val="0"/>
      <w:marBottom w:val="0"/>
      <w:divBdr>
        <w:top w:val="none" w:sz="0" w:space="0" w:color="auto"/>
        <w:left w:val="none" w:sz="0" w:space="0" w:color="auto"/>
        <w:bottom w:val="none" w:sz="0" w:space="0" w:color="auto"/>
        <w:right w:val="none" w:sz="0" w:space="0" w:color="auto"/>
      </w:divBdr>
    </w:div>
    <w:div w:id="1100225089">
      <w:bodyDiv w:val="1"/>
      <w:marLeft w:val="0"/>
      <w:marRight w:val="0"/>
      <w:marTop w:val="0"/>
      <w:marBottom w:val="0"/>
      <w:divBdr>
        <w:top w:val="none" w:sz="0" w:space="0" w:color="auto"/>
        <w:left w:val="none" w:sz="0" w:space="0" w:color="auto"/>
        <w:bottom w:val="none" w:sz="0" w:space="0" w:color="auto"/>
        <w:right w:val="none" w:sz="0" w:space="0" w:color="auto"/>
      </w:divBdr>
      <w:divsChild>
        <w:div w:id="2072998133">
          <w:marLeft w:val="0"/>
          <w:marRight w:val="0"/>
          <w:marTop w:val="0"/>
          <w:marBottom w:val="0"/>
          <w:divBdr>
            <w:top w:val="none" w:sz="0" w:space="0" w:color="auto"/>
            <w:left w:val="none" w:sz="0" w:space="0" w:color="auto"/>
            <w:bottom w:val="none" w:sz="0" w:space="0" w:color="auto"/>
            <w:right w:val="none" w:sz="0" w:space="0" w:color="auto"/>
          </w:divBdr>
        </w:div>
        <w:div w:id="579021149">
          <w:marLeft w:val="0"/>
          <w:marRight w:val="0"/>
          <w:marTop w:val="0"/>
          <w:marBottom w:val="0"/>
          <w:divBdr>
            <w:top w:val="none" w:sz="0" w:space="0" w:color="auto"/>
            <w:left w:val="none" w:sz="0" w:space="0" w:color="auto"/>
            <w:bottom w:val="none" w:sz="0" w:space="0" w:color="auto"/>
            <w:right w:val="none" w:sz="0" w:space="0" w:color="auto"/>
          </w:divBdr>
        </w:div>
        <w:div w:id="1836719830">
          <w:marLeft w:val="0"/>
          <w:marRight w:val="0"/>
          <w:marTop w:val="0"/>
          <w:marBottom w:val="0"/>
          <w:divBdr>
            <w:top w:val="none" w:sz="0" w:space="0" w:color="auto"/>
            <w:left w:val="none" w:sz="0" w:space="0" w:color="auto"/>
            <w:bottom w:val="none" w:sz="0" w:space="0" w:color="auto"/>
            <w:right w:val="none" w:sz="0" w:space="0" w:color="auto"/>
          </w:divBdr>
        </w:div>
        <w:div w:id="1738287243">
          <w:marLeft w:val="0"/>
          <w:marRight w:val="0"/>
          <w:marTop w:val="0"/>
          <w:marBottom w:val="0"/>
          <w:divBdr>
            <w:top w:val="none" w:sz="0" w:space="0" w:color="auto"/>
            <w:left w:val="none" w:sz="0" w:space="0" w:color="auto"/>
            <w:bottom w:val="none" w:sz="0" w:space="0" w:color="auto"/>
            <w:right w:val="none" w:sz="0" w:space="0" w:color="auto"/>
          </w:divBdr>
          <w:divsChild>
            <w:div w:id="34354673">
              <w:marLeft w:val="0"/>
              <w:marRight w:val="0"/>
              <w:marTop w:val="0"/>
              <w:marBottom w:val="0"/>
              <w:divBdr>
                <w:top w:val="none" w:sz="0" w:space="0" w:color="auto"/>
                <w:left w:val="none" w:sz="0" w:space="0" w:color="auto"/>
                <w:bottom w:val="none" w:sz="0" w:space="0" w:color="auto"/>
                <w:right w:val="none" w:sz="0" w:space="0" w:color="auto"/>
              </w:divBdr>
            </w:div>
          </w:divsChild>
        </w:div>
        <w:div w:id="1957904607">
          <w:marLeft w:val="0"/>
          <w:marRight w:val="0"/>
          <w:marTop w:val="0"/>
          <w:marBottom w:val="0"/>
          <w:divBdr>
            <w:top w:val="none" w:sz="0" w:space="0" w:color="auto"/>
            <w:left w:val="none" w:sz="0" w:space="0" w:color="auto"/>
            <w:bottom w:val="none" w:sz="0" w:space="0" w:color="auto"/>
            <w:right w:val="none" w:sz="0" w:space="0" w:color="auto"/>
          </w:divBdr>
        </w:div>
      </w:divsChild>
    </w:div>
    <w:div w:id="1671517139">
      <w:bodyDiv w:val="1"/>
      <w:marLeft w:val="0"/>
      <w:marRight w:val="0"/>
      <w:marTop w:val="0"/>
      <w:marBottom w:val="0"/>
      <w:divBdr>
        <w:top w:val="none" w:sz="0" w:space="0" w:color="auto"/>
        <w:left w:val="none" w:sz="0" w:space="0" w:color="auto"/>
        <w:bottom w:val="none" w:sz="0" w:space="0" w:color="auto"/>
        <w:right w:val="none" w:sz="0" w:space="0" w:color="auto"/>
      </w:divBdr>
      <w:divsChild>
        <w:div w:id="1548026727">
          <w:marLeft w:val="0"/>
          <w:marRight w:val="0"/>
          <w:marTop w:val="0"/>
          <w:marBottom w:val="0"/>
          <w:divBdr>
            <w:top w:val="none" w:sz="0" w:space="0" w:color="auto"/>
            <w:left w:val="none" w:sz="0" w:space="0" w:color="auto"/>
            <w:bottom w:val="none" w:sz="0" w:space="0" w:color="auto"/>
            <w:right w:val="none" w:sz="0" w:space="0" w:color="auto"/>
          </w:divBdr>
        </w:div>
        <w:div w:id="1671718459">
          <w:marLeft w:val="0"/>
          <w:marRight w:val="0"/>
          <w:marTop w:val="0"/>
          <w:marBottom w:val="0"/>
          <w:divBdr>
            <w:top w:val="none" w:sz="0" w:space="0" w:color="auto"/>
            <w:left w:val="none" w:sz="0" w:space="0" w:color="auto"/>
            <w:bottom w:val="none" w:sz="0" w:space="0" w:color="auto"/>
            <w:right w:val="none" w:sz="0" w:space="0" w:color="auto"/>
          </w:divBdr>
        </w:div>
        <w:div w:id="483013752">
          <w:marLeft w:val="0"/>
          <w:marRight w:val="0"/>
          <w:marTop w:val="0"/>
          <w:marBottom w:val="0"/>
          <w:divBdr>
            <w:top w:val="none" w:sz="0" w:space="0" w:color="auto"/>
            <w:left w:val="none" w:sz="0" w:space="0" w:color="auto"/>
            <w:bottom w:val="none" w:sz="0" w:space="0" w:color="auto"/>
            <w:right w:val="none" w:sz="0" w:space="0" w:color="auto"/>
          </w:divBdr>
        </w:div>
        <w:div w:id="1822572900">
          <w:marLeft w:val="0"/>
          <w:marRight w:val="0"/>
          <w:marTop w:val="0"/>
          <w:marBottom w:val="0"/>
          <w:divBdr>
            <w:top w:val="none" w:sz="0" w:space="0" w:color="auto"/>
            <w:left w:val="none" w:sz="0" w:space="0" w:color="auto"/>
            <w:bottom w:val="none" w:sz="0" w:space="0" w:color="auto"/>
            <w:right w:val="none" w:sz="0" w:space="0" w:color="auto"/>
          </w:divBdr>
          <w:divsChild>
            <w:div w:id="2137720592">
              <w:marLeft w:val="0"/>
              <w:marRight w:val="0"/>
              <w:marTop w:val="0"/>
              <w:marBottom w:val="0"/>
              <w:divBdr>
                <w:top w:val="none" w:sz="0" w:space="0" w:color="auto"/>
                <w:left w:val="none" w:sz="0" w:space="0" w:color="auto"/>
                <w:bottom w:val="none" w:sz="0" w:space="0" w:color="auto"/>
                <w:right w:val="none" w:sz="0" w:space="0" w:color="auto"/>
              </w:divBdr>
            </w:div>
          </w:divsChild>
        </w:div>
        <w:div w:id="6205718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CDC96-3858-4520-95FA-B6A44368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Soule</dc:creator>
  <cp:lastModifiedBy>Holly Soule</cp:lastModifiedBy>
  <cp:revision>12</cp:revision>
  <dcterms:created xsi:type="dcterms:W3CDTF">2024-12-02T14:14:00Z</dcterms:created>
  <dcterms:modified xsi:type="dcterms:W3CDTF">2024-12-10T18:10:00Z</dcterms:modified>
</cp:coreProperties>
</file>