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4838C" w14:textId="77777777" w:rsidR="006826A3" w:rsidRDefault="006826A3" w:rsidP="006826A3">
      <w:pPr>
        <w:pStyle w:val="Title"/>
        <w:spacing w:after="0" w:line="240" w:lineRule="auto"/>
        <w:jc w:val="center"/>
        <w:rPr>
          <w:rFonts w:ascii="Lato Light" w:hAnsi="Lato Light" w:cs="Calibri"/>
          <w:b/>
          <w:bCs/>
          <w:sz w:val="22"/>
          <w:szCs w:val="22"/>
        </w:rPr>
      </w:pPr>
    </w:p>
    <w:p w14:paraId="5BC8EAAD" w14:textId="770A080C" w:rsidR="00B5199E" w:rsidRPr="006826A3" w:rsidRDefault="00B5199E" w:rsidP="006826A3">
      <w:pPr>
        <w:pStyle w:val="Title"/>
        <w:spacing w:after="0" w:line="240" w:lineRule="auto"/>
        <w:jc w:val="center"/>
        <w:rPr>
          <w:rFonts w:ascii="Lato Light" w:hAnsi="Lato Light" w:cs="Calibri"/>
          <w:b/>
          <w:bCs/>
          <w:sz w:val="22"/>
          <w:szCs w:val="22"/>
        </w:rPr>
      </w:pPr>
      <w:r w:rsidRPr="006826A3">
        <w:rPr>
          <w:rFonts w:ascii="Lato Light" w:hAnsi="Lato Light" w:cs="Calibri"/>
          <w:b/>
          <w:bCs/>
          <w:sz w:val="22"/>
          <w:szCs w:val="22"/>
        </w:rPr>
        <w:t>NON-DISCRIMINATION TESTING</w:t>
      </w:r>
      <w:r w:rsidR="006826A3">
        <w:rPr>
          <w:rFonts w:ascii="Lato Light" w:hAnsi="Lato Light" w:cs="Calibri"/>
          <w:b/>
          <w:bCs/>
          <w:sz w:val="22"/>
          <w:szCs w:val="22"/>
        </w:rPr>
        <w:t xml:space="preserve"> - </w:t>
      </w:r>
      <w:r w:rsidRPr="006826A3">
        <w:rPr>
          <w:sz w:val="22"/>
          <w:szCs w:val="22"/>
        </w:rPr>
        <w:t xml:space="preserve">SECTION </w:t>
      </w:r>
      <w:r w:rsidR="00482367" w:rsidRPr="006826A3">
        <w:rPr>
          <w:sz w:val="22"/>
          <w:szCs w:val="22"/>
        </w:rPr>
        <w:t>105(h)</w:t>
      </w:r>
      <w:r w:rsidRPr="006826A3">
        <w:rPr>
          <w:sz w:val="22"/>
          <w:szCs w:val="22"/>
        </w:rPr>
        <w:t xml:space="preserve"> </w:t>
      </w:r>
      <w:r w:rsidR="006826A3" w:rsidRPr="006826A3">
        <w:rPr>
          <w:sz w:val="22"/>
          <w:szCs w:val="22"/>
        </w:rPr>
        <w:t>(</w:t>
      </w:r>
      <w:r w:rsidR="00482367" w:rsidRPr="006826A3">
        <w:rPr>
          <w:sz w:val="22"/>
          <w:szCs w:val="22"/>
        </w:rPr>
        <w:t>SEL</w:t>
      </w:r>
      <w:r w:rsidR="001F62F4">
        <w:rPr>
          <w:sz w:val="22"/>
          <w:szCs w:val="22"/>
        </w:rPr>
        <w:t>F-INSURED PLANS</w:t>
      </w:r>
      <w:r w:rsidR="006826A3" w:rsidRPr="006826A3">
        <w:rPr>
          <w:sz w:val="22"/>
          <w:szCs w:val="22"/>
        </w:rPr>
        <w:t>)</w:t>
      </w:r>
    </w:p>
    <w:p w14:paraId="2B7E2450" w14:textId="77777777" w:rsidR="001F423C" w:rsidRPr="00731213" w:rsidRDefault="001F423C" w:rsidP="00745EE1">
      <w:pPr>
        <w:pStyle w:val="Title"/>
        <w:spacing w:after="0" w:line="240" w:lineRule="auto"/>
        <w:rPr>
          <w:rFonts w:ascii="Lato Light" w:hAnsi="Lato Light" w:cs="Calibri"/>
          <w:b/>
          <w:bCs/>
          <w:sz w:val="22"/>
          <w:szCs w:val="22"/>
        </w:rPr>
      </w:pPr>
    </w:p>
    <w:p w14:paraId="6F99D1E9" w14:textId="23F8E04E" w:rsidR="00466B2B" w:rsidRPr="00466B2B" w:rsidRDefault="00466B2B" w:rsidP="00745EE1">
      <w:pPr>
        <w:spacing w:line="240" w:lineRule="auto"/>
        <w:rPr>
          <w:rFonts w:ascii="Lato Light" w:hAnsi="Lato Light" w:cstheme="majorHAnsi"/>
          <w:b/>
          <w:bCs/>
        </w:rPr>
      </w:pPr>
      <w:r w:rsidRPr="00466B2B">
        <w:rPr>
          <w:rFonts w:ascii="Lato Light" w:hAnsi="Lato Light" w:cstheme="majorHAnsi"/>
          <w:b/>
          <w:bCs/>
        </w:rPr>
        <w:t>Overview:</w:t>
      </w:r>
    </w:p>
    <w:p w14:paraId="367790C0" w14:textId="77777777" w:rsidR="00466B2B" w:rsidRDefault="00466B2B" w:rsidP="00745EE1">
      <w:pPr>
        <w:spacing w:line="240" w:lineRule="auto"/>
        <w:rPr>
          <w:rFonts w:ascii="Lato Light" w:hAnsi="Lato Light" w:cstheme="majorHAnsi"/>
        </w:rPr>
      </w:pPr>
    </w:p>
    <w:p w14:paraId="5F3B5D6C" w14:textId="7049E0C6" w:rsidR="00E35156" w:rsidRDefault="00E35156" w:rsidP="00745EE1">
      <w:pPr>
        <w:spacing w:line="240" w:lineRule="auto"/>
        <w:rPr>
          <w:rFonts w:ascii="Lato Light" w:hAnsi="Lato Light" w:cstheme="majorHAnsi"/>
        </w:rPr>
      </w:pPr>
      <w:r w:rsidRPr="00E35156">
        <w:rPr>
          <w:rFonts w:ascii="Lato Light" w:hAnsi="Lato Light" w:cstheme="majorHAnsi"/>
        </w:rPr>
        <w:t>Section 1</w:t>
      </w:r>
      <w:r w:rsidR="00482367">
        <w:rPr>
          <w:rFonts w:ascii="Lato Light" w:hAnsi="Lato Light" w:cstheme="majorHAnsi"/>
        </w:rPr>
        <w:t>0</w:t>
      </w:r>
      <w:r w:rsidRPr="00E35156">
        <w:rPr>
          <w:rFonts w:ascii="Lato Light" w:hAnsi="Lato Light" w:cstheme="majorHAnsi"/>
        </w:rPr>
        <w:t>5</w:t>
      </w:r>
      <w:r w:rsidR="00482367">
        <w:rPr>
          <w:rFonts w:ascii="Lato Light" w:hAnsi="Lato Light" w:cstheme="majorHAnsi"/>
        </w:rPr>
        <w:t>(h)</w:t>
      </w:r>
      <w:r w:rsidRPr="00E35156">
        <w:rPr>
          <w:rFonts w:ascii="Lato Light" w:hAnsi="Lato Light" w:cstheme="majorHAnsi"/>
        </w:rPr>
        <w:t xml:space="preserve"> of the Internal Revenue Code </w:t>
      </w:r>
      <w:r>
        <w:rPr>
          <w:rFonts w:ascii="Lato Light" w:hAnsi="Lato Light" w:cstheme="majorHAnsi"/>
        </w:rPr>
        <w:t>permit</w:t>
      </w:r>
      <w:r w:rsidRPr="00E35156">
        <w:rPr>
          <w:rFonts w:ascii="Lato Light" w:hAnsi="Lato Light" w:cstheme="majorHAnsi"/>
        </w:rPr>
        <w:t xml:space="preserve">s employers to </w:t>
      </w:r>
      <w:r w:rsidR="00482367">
        <w:rPr>
          <w:rFonts w:ascii="Lato Light" w:hAnsi="Lato Light" w:cstheme="majorHAnsi"/>
        </w:rPr>
        <w:t>sponsor self-</w:t>
      </w:r>
      <w:r w:rsidR="001F62F4">
        <w:rPr>
          <w:rFonts w:ascii="Lato Light" w:hAnsi="Lato Light" w:cstheme="majorHAnsi"/>
        </w:rPr>
        <w:t>insured</w:t>
      </w:r>
      <w:r w:rsidR="00482367">
        <w:rPr>
          <w:rFonts w:ascii="Lato Light" w:hAnsi="Lato Light" w:cstheme="majorHAnsi"/>
        </w:rPr>
        <w:t xml:space="preserve"> </w:t>
      </w:r>
      <w:r w:rsidR="00266EF3">
        <w:rPr>
          <w:rFonts w:ascii="Lato Light" w:hAnsi="Lato Light" w:cstheme="majorHAnsi"/>
        </w:rPr>
        <w:t xml:space="preserve">health </w:t>
      </w:r>
      <w:r w:rsidR="00482367">
        <w:rPr>
          <w:rFonts w:ascii="Lato Light" w:hAnsi="Lato Light" w:cstheme="majorHAnsi"/>
        </w:rPr>
        <w:t>plans that are not insurance policies</w:t>
      </w:r>
      <w:r w:rsidRPr="00E35156">
        <w:rPr>
          <w:rFonts w:ascii="Lato Light" w:hAnsi="Lato Light" w:cstheme="majorHAnsi"/>
        </w:rPr>
        <w:t xml:space="preserve">.  </w:t>
      </w:r>
      <w:r w:rsidR="00466B2B">
        <w:rPr>
          <w:rFonts w:ascii="Lato Light" w:hAnsi="Lato Light" w:cstheme="majorHAnsi"/>
        </w:rPr>
        <w:t>E</w:t>
      </w:r>
      <w:r w:rsidRPr="00E35156">
        <w:rPr>
          <w:rFonts w:ascii="Lato Light" w:hAnsi="Lato Light" w:cstheme="majorHAnsi"/>
        </w:rPr>
        <w:t xml:space="preserve">mployers </w:t>
      </w:r>
      <w:r w:rsidR="00466B2B">
        <w:rPr>
          <w:rFonts w:ascii="Lato Light" w:hAnsi="Lato Light" w:cstheme="majorHAnsi"/>
        </w:rPr>
        <w:t>must</w:t>
      </w:r>
      <w:r w:rsidRPr="00E35156">
        <w:rPr>
          <w:rFonts w:ascii="Lato Light" w:hAnsi="Lato Light" w:cstheme="majorHAnsi"/>
        </w:rPr>
        <w:t xml:space="preserve"> annually run </w:t>
      </w:r>
      <w:r w:rsidR="00482367">
        <w:rPr>
          <w:rFonts w:ascii="Lato Light" w:hAnsi="Lato Light" w:cstheme="majorHAnsi"/>
        </w:rPr>
        <w:t>two</w:t>
      </w:r>
      <w:r w:rsidRPr="00E35156">
        <w:rPr>
          <w:rFonts w:ascii="Lato Light" w:hAnsi="Lato Light" w:cstheme="majorHAnsi"/>
        </w:rPr>
        <w:t xml:space="preserve"> non-discrimination tests</w:t>
      </w:r>
      <w:r w:rsidR="00D5038C">
        <w:rPr>
          <w:rFonts w:ascii="Lato Light" w:hAnsi="Lato Light" w:cstheme="majorHAnsi"/>
        </w:rPr>
        <w:t xml:space="preserve"> (NDT)</w:t>
      </w:r>
      <w:r w:rsidRPr="00E35156">
        <w:rPr>
          <w:rFonts w:ascii="Lato Light" w:hAnsi="Lato Light" w:cstheme="majorHAnsi"/>
        </w:rPr>
        <w:t xml:space="preserve"> to ensure the</w:t>
      </w:r>
      <w:r w:rsidR="00466B2B">
        <w:rPr>
          <w:rFonts w:ascii="Lato Light" w:hAnsi="Lato Light" w:cstheme="majorHAnsi"/>
        </w:rPr>
        <w:t xml:space="preserve"> tax-favored</w:t>
      </w:r>
      <w:r w:rsidRPr="00E35156">
        <w:rPr>
          <w:rFonts w:ascii="Lato Light" w:hAnsi="Lato Light" w:cstheme="majorHAnsi"/>
        </w:rPr>
        <w:t xml:space="preserve"> benefits flowing through </w:t>
      </w:r>
      <w:r w:rsidR="00266EF3">
        <w:rPr>
          <w:rFonts w:ascii="Lato Light" w:hAnsi="Lato Light" w:cstheme="majorHAnsi"/>
        </w:rPr>
        <w:t>each</w:t>
      </w:r>
      <w:r w:rsidRPr="00E35156">
        <w:rPr>
          <w:rFonts w:ascii="Lato Light" w:hAnsi="Lato Light" w:cstheme="majorHAnsi"/>
        </w:rPr>
        <w:t xml:space="preserve"> </w:t>
      </w:r>
      <w:r w:rsidR="00482367">
        <w:rPr>
          <w:rFonts w:ascii="Lato Light" w:hAnsi="Lato Light" w:cstheme="majorHAnsi"/>
        </w:rPr>
        <w:t>self-</w:t>
      </w:r>
      <w:r w:rsidR="001F62F4">
        <w:rPr>
          <w:rFonts w:ascii="Lato Light" w:hAnsi="Lato Light" w:cstheme="majorHAnsi"/>
        </w:rPr>
        <w:t>insured</w:t>
      </w:r>
      <w:r w:rsidRPr="00E35156">
        <w:rPr>
          <w:rFonts w:ascii="Lato Light" w:hAnsi="Lato Light" w:cstheme="majorHAnsi"/>
        </w:rPr>
        <w:t xml:space="preserve"> </w:t>
      </w:r>
      <w:r w:rsidR="00266EF3">
        <w:rPr>
          <w:rFonts w:ascii="Lato Light" w:hAnsi="Lato Light" w:cstheme="majorHAnsi"/>
        </w:rPr>
        <w:t xml:space="preserve">health </w:t>
      </w:r>
      <w:r w:rsidRPr="00E35156">
        <w:rPr>
          <w:rFonts w:ascii="Lato Light" w:hAnsi="Lato Light" w:cstheme="majorHAnsi"/>
        </w:rPr>
        <w:t>plan do not overly favor highly compensated</w:t>
      </w:r>
      <w:r w:rsidR="00482367">
        <w:rPr>
          <w:rFonts w:ascii="Lato Light" w:hAnsi="Lato Light" w:cstheme="majorHAnsi"/>
        </w:rPr>
        <w:t xml:space="preserve"> </w:t>
      </w:r>
      <w:r w:rsidR="00266EF3">
        <w:rPr>
          <w:rFonts w:ascii="Lato Light" w:hAnsi="Lato Light" w:cstheme="majorHAnsi"/>
        </w:rPr>
        <w:t>individuals (HCIs)</w:t>
      </w:r>
      <w:r w:rsidRPr="00E35156">
        <w:rPr>
          <w:rFonts w:ascii="Lato Light" w:hAnsi="Lato Light" w:cstheme="majorHAnsi"/>
        </w:rPr>
        <w:t>.</w:t>
      </w:r>
      <w:r>
        <w:rPr>
          <w:rFonts w:ascii="Lato Light" w:hAnsi="Lato Light" w:cstheme="majorHAnsi"/>
        </w:rPr>
        <w:t xml:space="preserve"> </w:t>
      </w:r>
    </w:p>
    <w:p w14:paraId="7AD00B72" w14:textId="77777777" w:rsidR="00726337" w:rsidRDefault="00726337" w:rsidP="00745EE1">
      <w:pPr>
        <w:spacing w:line="240" w:lineRule="auto"/>
        <w:rPr>
          <w:rFonts w:ascii="Lato Light" w:hAnsi="Lato Light" w:cstheme="majorHAnsi"/>
        </w:rPr>
      </w:pPr>
    </w:p>
    <w:p w14:paraId="3EB5E527" w14:textId="59EDCC68" w:rsidR="00731213" w:rsidRDefault="001F423C" w:rsidP="00731213">
      <w:pPr>
        <w:spacing w:line="240" w:lineRule="auto"/>
        <w:rPr>
          <w:rFonts w:ascii="Lato Light" w:hAnsi="Lato Light" w:cstheme="majorHAnsi"/>
          <w:b/>
          <w:bCs/>
        </w:rPr>
      </w:pPr>
      <w:r w:rsidRPr="00731213">
        <w:rPr>
          <w:rFonts w:ascii="Lato Light" w:hAnsi="Lato Light" w:cstheme="majorHAnsi"/>
          <w:b/>
          <w:bCs/>
        </w:rPr>
        <w:t xml:space="preserve">Applies </w:t>
      </w:r>
      <w:r w:rsidR="00731213">
        <w:rPr>
          <w:rFonts w:ascii="Lato Light" w:hAnsi="Lato Light" w:cstheme="majorHAnsi"/>
          <w:b/>
          <w:bCs/>
        </w:rPr>
        <w:t>T</w:t>
      </w:r>
      <w:r w:rsidRPr="00731213">
        <w:rPr>
          <w:rFonts w:ascii="Lato Light" w:hAnsi="Lato Light" w:cstheme="majorHAnsi"/>
          <w:b/>
          <w:bCs/>
        </w:rPr>
        <w:t>o:</w:t>
      </w:r>
      <w:r w:rsidR="00731213">
        <w:rPr>
          <w:rFonts w:ascii="Lato Light" w:hAnsi="Lato Light" w:cstheme="majorHAnsi"/>
          <w:b/>
          <w:bCs/>
        </w:rPr>
        <w:t xml:space="preserve">  </w:t>
      </w:r>
    </w:p>
    <w:p w14:paraId="169632E3" w14:textId="77777777" w:rsidR="00731213" w:rsidRDefault="00731213" w:rsidP="00731213">
      <w:pPr>
        <w:spacing w:line="240" w:lineRule="auto"/>
        <w:rPr>
          <w:rFonts w:ascii="Lato Light" w:hAnsi="Lato Light" w:cstheme="majorHAnsi"/>
          <w:b/>
          <w:bCs/>
        </w:rPr>
      </w:pPr>
    </w:p>
    <w:p w14:paraId="757E9EA9" w14:textId="107CD251" w:rsidR="001F423C" w:rsidRPr="006826A3" w:rsidRDefault="001F423C" w:rsidP="006826A3">
      <w:pPr>
        <w:spacing w:line="240" w:lineRule="auto"/>
        <w:rPr>
          <w:rFonts w:ascii="Lato Light" w:hAnsi="Lato Light" w:cstheme="majorHAnsi"/>
          <w:b/>
          <w:bCs/>
        </w:rPr>
      </w:pPr>
      <w:r w:rsidRPr="006826A3">
        <w:rPr>
          <w:rFonts w:ascii="Lato Light" w:hAnsi="Lato Light" w:cstheme="majorHAnsi"/>
        </w:rPr>
        <w:t xml:space="preserve">All group </w:t>
      </w:r>
      <w:r w:rsidR="00466B2B" w:rsidRPr="006826A3">
        <w:rPr>
          <w:rFonts w:ascii="Lato Light" w:hAnsi="Lato Light" w:cstheme="majorHAnsi"/>
        </w:rPr>
        <w:t>benefit</w:t>
      </w:r>
      <w:r w:rsidRPr="006826A3">
        <w:rPr>
          <w:rFonts w:ascii="Lato Light" w:hAnsi="Lato Light" w:cstheme="majorHAnsi"/>
        </w:rPr>
        <w:t xml:space="preserve"> plan sponsors</w:t>
      </w:r>
      <w:r w:rsidR="00B5199E" w:rsidRPr="006826A3">
        <w:rPr>
          <w:rFonts w:ascii="Lato Light" w:hAnsi="Lato Light" w:cstheme="majorHAnsi"/>
        </w:rPr>
        <w:t>, regardless of size,</w:t>
      </w:r>
      <w:r w:rsidRPr="006826A3">
        <w:rPr>
          <w:rFonts w:ascii="Lato Light" w:hAnsi="Lato Light" w:cstheme="majorHAnsi"/>
        </w:rPr>
        <w:t xml:space="preserve"> that offer </w:t>
      </w:r>
      <w:r w:rsidR="00B5199E" w:rsidRPr="006826A3">
        <w:rPr>
          <w:rFonts w:ascii="Lato Light" w:hAnsi="Lato Light" w:cstheme="majorHAnsi"/>
        </w:rPr>
        <w:t xml:space="preserve">a </w:t>
      </w:r>
      <w:r w:rsidR="00482367" w:rsidRPr="006826A3">
        <w:rPr>
          <w:rFonts w:ascii="Lato Light" w:hAnsi="Lato Light" w:cstheme="majorHAnsi"/>
        </w:rPr>
        <w:t>self-</w:t>
      </w:r>
      <w:r w:rsidR="001F62F4">
        <w:rPr>
          <w:rFonts w:ascii="Lato Light" w:hAnsi="Lato Light" w:cstheme="majorHAnsi"/>
        </w:rPr>
        <w:t>insured</w:t>
      </w:r>
      <w:r w:rsidR="00B5199E" w:rsidRPr="006826A3">
        <w:rPr>
          <w:rFonts w:ascii="Lato Light" w:hAnsi="Lato Light" w:cstheme="majorHAnsi"/>
        </w:rPr>
        <w:t xml:space="preserve"> </w:t>
      </w:r>
      <w:r w:rsidR="007B4457" w:rsidRPr="006826A3">
        <w:rPr>
          <w:rFonts w:ascii="Lato Light" w:hAnsi="Lato Light" w:cstheme="majorHAnsi"/>
        </w:rPr>
        <w:t xml:space="preserve">health </w:t>
      </w:r>
      <w:r w:rsidR="00B5199E" w:rsidRPr="006826A3">
        <w:rPr>
          <w:rFonts w:ascii="Lato Light" w:hAnsi="Lato Light" w:cstheme="majorHAnsi"/>
        </w:rPr>
        <w:t>plan</w:t>
      </w:r>
      <w:r w:rsidR="00D5038C" w:rsidRPr="006826A3">
        <w:rPr>
          <w:rFonts w:ascii="Lato Light" w:hAnsi="Lato Light" w:cstheme="majorHAnsi"/>
        </w:rPr>
        <w:t>,</w:t>
      </w:r>
      <w:r w:rsidR="00B5199E" w:rsidRPr="006826A3">
        <w:rPr>
          <w:rFonts w:ascii="Lato Light" w:hAnsi="Lato Light" w:cstheme="majorHAnsi"/>
        </w:rPr>
        <w:t xml:space="preserve"> </w:t>
      </w:r>
      <w:r w:rsidR="00482367" w:rsidRPr="006826A3">
        <w:rPr>
          <w:rFonts w:ascii="Lato Light" w:hAnsi="Lato Light" w:cstheme="majorHAnsi"/>
        </w:rPr>
        <w:t>including level-</w:t>
      </w:r>
      <w:r w:rsidR="001F62F4">
        <w:rPr>
          <w:rFonts w:ascii="Lato Light" w:hAnsi="Lato Light" w:cstheme="majorHAnsi"/>
        </w:rPr>
        <w:t>insured</w:t>
      </w:r>
      <w:r w:rsidR="00482367" w:rsidRPr="006826A3">
        <w:rPr>
          <w:rFonts w:ascii="Lato Light" w:hAnsi="Lato Light" w:cstheme="majorHAnsi"/>
        </w:rPr>
        <w:t xml:space="preserve"> plans, </w:t>
      </w:r>
      <w:r w:rsidR="00266EF3" w:rsidRPr="006826A3">
        <w:rPr>
          <w:rFonts w:ascii="Lato Light" w:hAnsi="Lato Light" w:cstheme="majorHAnsi"/>
        </w:rPr>
        <w:t>self-</w:t>
      </w:r>
      <w:r w:rsidR="001F62F4">
        <w:rPr>
          <w:rFonts w:ascii="Lato Light" w:hAnsi="Lato Light" w:cstheme="majorHAnsi"/>
        </w:rPr>
        <w:t>insured</w:t>
      </w:r>
      <w:r w:rsidR="00266EF3" w:rsidRPr="006826A3">
        <w:rPr>
          <w:rFonts w:ascii="Lato Light" w:hAnsi="Lato Light" w:cstheme="majorHAnsi"/>
        </w:rPr>
        <w:t xml:space="preserve"> dental/vision plans, </w:t>
      </w:r>
      <w:r w:rsidR="00482367" w:rsidRPr="006826A3">
        <w:rPr>
          <w:rFonts w:ascii="Lato Light" w:hAnsi="Lato Light" w:cstheme="majorHAnsi"/>
        </w:rPr>
        <w:t xml:space="preserve">health FSAs, </w:t>
      </w:r>
      <w:r w:rsidR="00BC31B0" w:rsidRPr="006826A3">
        <w:rPr>
          <w:rFonts w:ascii="Lato Light" w:hAnsi="Lato Light" w:cstheme="majorHAnsi"/>
        </w:rPr>
        <w:t xml:space="preserve">and </w:t>
      </w:r>
      <w:r w:rsidR="00482367" w:rsidRPr="006826A3">
        <w:rPr>
          <w:rFonts w:ascii="Lato Light" w:hAnsi="Lato Light" w:cstheme="majorHAnsi"/>
        </w:rPr>
        <w:t>HRAs, a</w:t>
      </w:r>
      <w:r w:rsidR="00BC31B0" w:rsidRPr="006826A3">
        <w:rPr>
          <w:rFonts w:ascii="Lato Light" w:hAnsi="Lato Light" w:cstheme="majorHAnsi"/>
        </w:rPr>
        <w:t>s well as</w:t>
      </w:r>
      <w:r w:rsidR="00482367" w:rsidRPr="006826A3">
        <w:rPr>
          <w:rFonts w:ascii="Lato Light" w:hAnsi="Lato Light" w:cstheme="majorHAnsi"/>
        </w:rPr>
        <w:t xml:space="preserve"> ICHRAs that reimburse more than just </w:t>
      </w:r>
      <w:r w:rsidR="00BC31B0" w:rsidRPr="006826A3">
        <w:rPr>
          <w:rFonts w:ascii="Lato Light" w:hAnsi="Lato Light" w:cstheme="majorHAnsi"/>
        </w:rPr>
        <w:t xml:space="preserve">individual health insurance </w:t>
      </w:r>
      <w:r w:rsidR="00482367" w:rsidRPr="006826A3">
        <w:rPr>
          <w:rFonts w:ascii="Lato Light" w:hAnsi="Lato Light" w:cstheme="majorHAnsi"/>
        </w:rPr>
        <w:t>premiums</w:t>
      </w:r>
      <w:r w:rsidRPr="006826A3">
        <w:rPr>
          <w:rFonts w:ascii="Lato Light" w:hAnsi="Lato Light" w:cstheme="majorHAnsi"/>
        </w:rPr>
        <w:t>.</w:t>
      </w:r>
    </w:p>
    <w:p w14:paraId="14561E34" w14:textId="77777777" w:rsidR="001F423C" w:rsidRDefault="001F423C" w:rsidP="00745EE1">
      <w:pPr>
        <w:spacing w:line="240" w:lineRule="auto"/>
        <w:rPr>
          <w:rFonts w:ascii="Lato Light" w:hAnsi="Lato Light" w:cstheme="majorHAnsi"/>
          <w:b/>
          <w:bCs/>
        </w:rPr>
      </w:pPr>
    </w:p>
    <w:p w14:paraId="0000000F" w14:textId="08601486" w:rsidR="0001489F" w:rsidRPr="00731213" w:rsidRDefault="001F423C" w:rsidP="00745EE1">
      <w:pPr>
        <w:spacing w:line="240" w:lineRule="auto"/>
        <w:rPr>
          <w:rFonts w:ascii="Lato Light" w:hAnsi="Lato Light" w:cstheme="majorHAnsi"/>
          <w:b/>
          <w:bCs/>
        </w:rPr>
      </w:pPr>
      <w:r w:rsidRPr="00731213">
        <w:rPr>
          <w:rFonts w:ascii="Lato Light" w:hAnsi="Lato Light" w:cstheme="majorHAnsi"/>
          <w:b/>
          <w:bCs/>
        </w:rPr>
        <w:t>Go Deeper</w:t>
      </w:r>
      <w:r w:rsidR="005B04D9" w:rsidRPr="00731213">
        <w:rPr>
          <w:rFonts w:ascii="Lato Light" w:hAnsi="Lato Light" w:cstheme="majorHAnsi"/>
          <w:b/>
          <w:bCs/>
        </w:rPr>
        <w:t xml:space="preserve">: </w:t>
      </w:r>
    </w:p>
    <w:p w14:paraId="738A8264" w14:textId="77777777" w:rsidR="001F423C" w:rsidRPr="00731213" w:rsidRDefault="001F423C" w:rsidP="00745EE1">
      <w:pPr>
        <w:spacing w:line="240" w:lineRule="auto"/>
        <w:rPr>
          <w:rFonts w:ascii="Lato Light" w:hAnsi="Lato Light" w:cstheme="majorHAnsi"/>
          <w:b/>
          <w:bCs/>
        </w:rPr>
      </w:pPr>
    </w:p>
    <w:p w14:paraId="01E882EF" w14:textId="6DB2E52B" w:rsidR="00731213" w:rsidRDefault="00266EF3" w:rsidP="00745EE1">
      <w:pPr>
        <w:spacing w:line="240" w:lineRule="auto"/>
        <w:rPr>
          <w:rFonts w:ascii="Lato Light" w:hAnsi="Lato Light" w:cstheme="majorHAnsi"/>
        </w:rPr>
      </w:pPr>
      <w:r>
        <w:rPr>
          <w:rFonts w:ascii="Lato Light" w:hAnsi="Lato Light" w:cstheme="majorHAnsi"/>
        </w:rPr>
        <w:t>T</w:t>
      </w:r>
      <w:r w:rsidR="001336CF">
        <w:rPr>
          <w:rFonts w:ascii="Lato Light" w:hAnsi="Lato Light" w:cstheme="majorHAnsi"/>
        </w:rPr>
        <w:t xml:space="preserve">here are </w:t>
      </w:r>
      <w:r w:rsidR="00BC31B0">
        <w:rPr>
          <w:rFonts w:ascii="Lato Light" w:hAnsi="Lato Light" w:cstheme="majorHAnsi"/>
        </w:rPr>
        <w:t>two</w:t>
      </w:r>
      <w:r w:rsidR="001336CF">
        <w:rPr>
          <w:rFonts w:ascii="Lato Light" w:hAnsi="Lato Light" w:cstheme="majorHAnsi"/>
        </w:rPr>
        <w:t xml:space="preserve"> </w:t>
      </w:r>
      <w:r w:rsidR="00C27D18">
        <w:rPr>
          <w:rFonts w:ascii="Lato Light" w:hAnsi="Lato Light" w:cstheme="majorHAnsi"/>
        </w:rPr>
        <w:t>non-discrimination test</w:t>
      </w:r>
      <w:r w:rsidR="001336CF">
        <w:rPr>
          <w:rFonts w:ascii="Lato Light" w:hAnsi="Lato Light" w:cstheme="majorHAnsi"/>
        </w:rPr>
        <w:t xml:space="preserve">s under </w:t>
      </w:r>
      <w:r w:rsidR="00466B2B">
        <w:rPr>
          <w:rFonts w:ascii="Lato Light" w:hAnsi="Lato Light" w:cstheme="majorHAnsi"/>
        </w:rPr>
        <w:t>§</w:t>
      </w:r>
      <w:r w:rsidR="001336CF">
        <w:rPr>
          <w:rFonts w:ascii="Lato Light" w:hAnsi="Lato Light" w:cstheme="majorHAnsi"/>
        </w:rPr>
        <w:t>1</w:t>
      </w:r>
      <w:r>
        <w:rPr>
          <w:rFonts w:ascii="Lato Light" w:hAnsi="Lato Light" w:cstheme="majorHAnsi"/>
        </w:rPr>
        <w:t>0</w:t>
      </w:r>
      <w:r w:rsidR="001336CF">
        <w:rPr>
          <w:rFonts w:ascii="Lato Light" w:hAnsi="Lato Light" w:cstheme="majorHAnsi"/>
        </w:rPr>
        <w:t>5</w:t>
      </w:r>
      <w:r>
        <w:rPr>
          <w:rFonts w:ascii="Lato Light" w:hAnsi="Lato Light" w:cstheme="majorHAnsi"/>
        </w:rPr>
        <w:t>(h) to run on each self-</w:t>
      </w:r>
      <w:r w:rsidR="001F62F4">
        <w:rPr>
          <w:rFonts w:ascii="Lato Light" w:hAnsi="Lato Light" w:cstheme="majorHAnsi"/>
        </w:rPr>
        <w:t>insured</w:t>
      </w:r>
      <w:r>
        <w:rPr>
          <w:rFonts w:ascii="Lato Light" w:hAnsi="Lato Light" w:cstheme="majorHAnsi"/>
        </w:rPr>
        <w:t xml:space="preserve"> health plan</w:t>
      </w:r>
      <w:r w:rsidR="00731213">
        <w:rPr>
          <w:rFonts w:ascii="Lato Light" w:hAnsi="Lato Light" w:cstheme="majorHAnsi"/>
        </w:rPr>
        <w:t>:</w:t>
      </w:r>
    </w:p>
    <w:p w14:paraId="0D22F718" w14:textId="77777777" w:rsidR="00731213" w:rsidRDefault="00731213" w:rsidP="00745EE1">
      <w:pPr>
        <w:spacing w:line="240" w:lineRule="auto"/>
        <w:rPr>
          <w:rFonts w:ascii="Lato Light" w:hAnsi="Lato Light" w:cstheme="majorHAnsi"/>
        </w:rPr>
      </w:pPr>
    </w:p>
    <w:p w14:paraId="5490B140" w14:textId="65908A74" w:rsidR="00731213" w:rsidRDefault="001336CF" w:rsidP="00466B2B">
      <w:pPr>
        <w:pStyle w:val="ListParagraph"/>
        <w:numPr>
          <w:ilvl w:val="0"/>
          <w:numId w:val="21"/>
        </w:numPr>
        <w:spacing w:line="240" w:lineRule="auto"/>
        <w:rPr>
          <w:rFonts w:ascii="Lato Light" w:hAnsi="Lato Light" w:cstheme="majorHAnsi"/>
        </w:rPr>
      </w:pPr>
      <w:r>
        <w:rPr>
          <w:rFonts w:ascii="Lato Light" w:hAnsi="Lato Light" w:cstheme="majorHAnsi"/>
        </w:rPr>
        <w:t xml:space="preserve">The Eligibility </w:t>
      </w:r>
      <w:r w:rsidR="0062294B">
        <w:rPr>
          <w:rFonts w:ascii="Lato Light" w:hAnsi="Lato Light" w:cstheme="majorHAnsi"/>
        </w:rPr>
        <w:t>T</w:t>
      </w:r>
      <w:r>
        <w:rPr>
          <w:rFonts w:ascii="Lato Light" w:hAnsi="Lato Light" w:cstheme="majorHAnsi"/>
        </w:rPr>
        <w:t>est</w:t>
      </w:r>
      <w:r w:rsidR="001F423C" w:rsidRPr="00731213">
        <w:rPr>
          <w:rFonts w:ascii="Lato Light" w:hAnsi="Lato Light" w:cstheme="majorHAnsi"/>
        </w:rPr>
        <w:t xml:space="preserve"> </w:t>
      </w:r>
    </w:p>
    <w:p w14:paraId="1AC220F2" w14:textId="15DF2217" w:rsidR="001F423C" w:rsidRDefault="001F423C" w:rsidP="00466B2B">
      <w:pPr>
        <w:pStyle w:val="ListParagraph"/>
        <w:numPr>
          <w:ilvl w:val="0"/>
          <w:numId w:val="21"/>
        </w:numPr>
        <w:spacing w:line="240" w:lineRule="auto"/>
        <w:rPr>
          <w:rFonts w:ascii="Lato Light" w:hAnsi="Lato Light" w:cstheme="majorHAnsi"/>
        </w:rPr>
      </w:pPr>
      <w:r w:rsidRPr="00731213">
        <w:rPr>
          <w:rFonts w:ascii="Lato Light" w:hAnsi="Lato Light" w:cstheme="majorHAnsi"/>
        </w:rPr>
        <w:t xml:space="preserve">The </w:t>
      </w:r>
      <w:r w:rsidR="001336CF">
        <w:rPr>
          <w:rFonts w:ascii="Lato Light" w:hAnsi="Lato Light" w:cstheme="majorHAnsi"/>
        </w:rPr>
        <w:t xml:space="preserve">Benefits </w:t>
      </w:r>
      <w:r w:rsidR="0062294B">
        <w:rPr>
          <w:rFonts w:ascii="Lato Light" w:hAnsi="Lato Light" w:cstheme="majorHAnsi"/>
        </w:rPr>
        <w:t>T</w:t>
      </w:r>
      <w:r w:rsidR="001336CF">
        <w:rPr>
          <w:rFonts w:ascii="Lato Light" w:hAnsi="Lato Light" w:cstheme="majorHAnsi"/>
        </w:rPr>
        <w:t>est</w:t>
      </w:r>
    </w:p>
    <w:p w14:paraId="625ACC8D" w14:textId="085FB618" w:rsidR="008C4703" w:rsidRDefault="008C4703" w:rsidP="00745EE1">
      <w:pPr>
        <w:spacing w:line="240" w:lineRule="auto"/>
        <w:rPr>
          <w:rFonts w:ascii="Lato Light" w:hAnsi="Lato Light" w:cstheme="majorHAnsi"/>
        </w:rPr>
      </w:pPr>
    </w:p>
    <w:p w14:paraId="161D58C5" w14:textId="621F1AB1" w:rsidR="00087651" w:rsidRPr="00496C84" w:rsidRDefault="00087651" w:rsidP="00745EE1">
      <w:pPr>
        <w:spacing w:line="240" w:lineRule="auto"/>
        <w:rPr>
          <w:rFonts w:ascii="Lato Light" w:hAnsi="Lato Light" w:cstheme="majorHAnsi"/>
          <w:i/>
          <w:iCs/>
        </w:rPr>
      </w:pPr>
      <w:r w:rsidRPr="00496C84">
        <w:rPr>
          <w:rFonts w:ascii="Lato Light" w:hAnsi="Lato Light" w:cstheme="majorHAnsi"/>
          <w:i/>
          <w:iCs/>
        </w:rPr>
        <w:t xml:space="preserve">Note that </w:t>
      </w:r>
      <w:r w:rsidR="00BC31B0">
        <w:rPr>
          <w:rFonts w:ascii="Lato Light" w:hAnsi="Lato Light" w:cstheme="majorHAnsi"/>
          <w:i/>
          <w:iCs/>
        </w:rPr>
        <w:t>self-</w:t>
      </w:r>
      <w:r w:rsidR="001F62F4">
        <w:rPr>
          <w:rFonts w:ascii="Lato Light" w:hAnsi="Lato Light" w:cstheme="majorHAnsi"/>
          <w:i/>
          <w:iCs/>
        </w:rPr>
        <w:t>insured</w:t>
      </w:r>
      <w:r w:rsidR="00BC31B0">
        <w:rPr>
          <w:rFonts w:ascii="Lato Light" w:hAnsi="Lato Light" w:cstheme="majorHAnsi"/>
          <w:i/>
          <w:iCs/>
        </w:rPr>
        <w:t xml:space="preserve"> health plans which employees pay pre-tax from their paychecks are also subject to</w:t>
      </w:r>
      <w:r w:rsidR="00496C84" w:rsidRPr="00496C84">
        <w:rPr>
          <w:rFonts w:ascii="Lato Light" w:hAnsi="Lato Light" w:cstheme="majorHAnsi"/>
          <w:i/>
          <w:iCs/>
        </w:rPr>
        <w:t xml:space="preserve"> completely separate tests under §1</w:t>
      </w:r>
      <w:r w:rsidR="00266EF3">
        <w:rPr>
          <w:rFonts w:ascii="Lato Light" w:hAnsi="Lato Light" w:cstheme="majorHAnsi"/>
          <w:i/>
          <w:iCs/>
        </w:rPr>
        <w:t>2</w:t>
      </w:r>
      <w:r w:rsidR="00496C84" w:rsidRPr="00496C84">
        <w:rPr>
          <w:rFonts w:ascii="Lato Light" w:hAnsi="Lato Light" w:cstheme="majorHAnsi"/>
          <w:i/>
          <w:iCs/>
        </w:rPr>
        <w:t xml:space="preserve">5 </w:t>
      </w:r>
      <w:r w:rsidR="00266EF3">
        <w:rPr>
          <w:rFonts w:ascii="Lato Light" w:hAnsi="Lato Light" w:cstheme="majorHAnsi"/>
          <w:i/>
          <w:iCs/>
        </w:rPr>
        <w:t>cafeteria plan rules</w:t>
      </w:r>
      <w:r w:rsidRPr="00496C84">
        <w:rPr>
          <w:rFonts w:ascii="Lato Light" w:hAnsi="Lato Light" w:cstheme="majorHAnsi"/>
          <w:i/>
          <w:iCs/>
        </w:rPr>
        <w:t>.</w:t>
      </w:r>
      <w:r w:rsidR="00496C84">
        <w:rPr>
          <w:rFonts w:ascii="Lato Light" w:hAnsi="Lato Light" w:cstheme="majorHAnsi"/>
          <w:i/>
          <w:iCs/>
        </w:rPr>
        <w:t xml:space="preserve">  </w:t>
      </w:r>
      <w:r w:rsidR="00962A85">
        <w:rPr>
          <w:rFonts w:ascii="Lato Light" w:hAnsi="Lato Light" w:cstheme="majorHAnsi"/>
          <w:i/>
          <w:iCs/>
        </w:rPr>
        <w:t xml:space="preserve">Cafeteria plan </w:t>
      </w:r>
      <w:r w:rsidR="00496C84">
        <w:rPr>
          <w:rFonts w:ascii="Lato Light" w:hAnsi="Lato Light" w:cstheme="majorHAnsi"/>
          <w:i/>
          <w:iCs/>
        </w:rPr>
        <w:t xml:space="preserve">tests are not </w:t>
      </w:r>
      <w:r w:rsidR="004D2457">
        <w:rPr>
          <w:rFonts w:ascii="Lato Light" w:hAnsi="Lato Light" w:cstheme="majorHAnsi"/>
          <w:i/>
          <w:iCs/>
        </w:rPr>
        <w:t xml:space="preserve">discussed </w:t>
      </w:r>
      <w:r w:rsidR="00496C84">
        <w:rPr>
          <w:rFonts w:ascii="Lato Light" w:hAnsi="Lato Light" w:cstheme="majorHAnsi"/>
          <w:i/>
          <w:iCs/>
        </w:rPr>
        <w:t>here.</w:t>
      </w:r>
    </w:p>
    <w:p w14:paraId="6F24CA6A" w14:textId="77777777" w:rsidR="00087651" w:rsidRDefault="00087651" w:rsidP="00745EE1">
      <w:pPr>
        <w:spacing w:line="240" w:lineRule="auto"/>
        <w:rPr>
          <w:rFonts w:ascii="Lato Light" w:hAnsi="Lato Light" w:cstheme="majorHAnsi"/>
        </w:rPr>
      </w:pPr>
    </w:p>
    <w:p w14:paraId="61AD4195" w14:textId="5C1B27DC" w:rsidR="007D0439" w:rsidRDefault="00496C84" w:rsidP="00745EE1">
      <w:pPr>
        <w:spacing w:line="240" w:lineRule="auto"/>
        <w:rPr>
          <w:rFonts w:ascii="Lato Light" w:hAnsi="Lato Light" w:cstheme="majorHAnsi"/>
        </w:rPr>
      </w:pPr>
      <w:r>
        <w:rPr>
          <w:rFonts w:ascii="Lato Light" w:hAnsi="Lato Light" w:cstheme="majorHAnsi"/>
        </w:rPr>
        <w:t xml:space="preserve">Employers are allowed to vary benefits or contributions by reasonable classifications as long as they don’t overly favor </w:t>
      </w:r>
      <w:r w:rsidR="00266EF3">
        <w:rPr>
          <w:rFonts w:ascii="Lato Light" w:hAnsi="Lato Light" w:cstheme="majorHAnsi"/>
        </w:rPr>
        <w:t>HCIs</w:t>
      </w:r>
      <w:r>
        <w:rPr>
          <w:rFonts w:ascii="Lato Light" w:hAnsi="Lato Light" w:cstheme="majorHAnsi"/>
        </w:rPr>
        <w:t>.</w:t>
      </w:r>
      <w:r w:rsidR="007D0439">
        <w:rPr>
          <w:rFonts w:ascii="Lato Light" w:hAnsi="Lato Light" w:cstheme="majorHAnsi"/>
        </w:rPr>
        <w:t xml:space="preserve">  For example, many employers exclude part-time employees, which is permissible if testing is passed.</w:t>
      </w:r>
    </w:p>
    <w:p w14:paraId="4A306C4E" w14:textId="77777777" w:rsidR="007D0439" w:rsidRDefault="007D0439" w:rsidP="00745EE1">
      <w:pPr>
        <w:spacing w:line="240" w:lineRule="auto"/>
        <w:rPr>
          <w:rFonts w:ascii="Lato Light" w:hAnsi="Lato Light" w:cstheme="majorHAnsi"/>
        </w:rPr>
      </w:pPr>
    </w:p>
    <w:p w14:paraId="59E8248A" w14:textId="222405FA" w:rsidR="00496C84" w:rsidRDefault="007D0439" w:rsidP="00496C84">
      <w:pPr>
        <w:rPr>
          <w:rFonts w:ascii="Lato Light" w:hAnsi="Lato Light" w:cstheme="majorHAnsi"/>
        </w:rPr>
      </w:pPr>
      <w:r>
        <w:rPr>
          <w:rFonts w:ascii="Lato Light" w:hAnsi="Lato Light" w:cstheme="majorHAnsi"/>
        </w:rPr>
        <w:t xml:space="preserve">The plan cannot overly favor </w:t>
      </w:r>
      <w:r w:rsidR="00266EF3">
        <w:rPr>
          <w:rFonts w:ascii="Lato Light" w:hAnsi="Lato Light" w:cstheme="majorHAnsi"/>
        </w:rPr>
        <w:t>HCIs</w:t>
      </w:r>
      <w:r>
        <w:rPr>
          <w:rFonts w:ascii="Lato Light" w:hAnsi="Lato Light" w:cstheme="majorHAnsi"/>
        </w:rPr>
        <w:t>, defined as follows:</w:t>
      </w:r>
    </w:p>
    <w:p w14:paraId="38ED3C9F" w14:textId="77777777" w:rsidR="007D0439" w:rsidRDefault="007D0439" w:rsidP="00496C84">
      <w:pPr>
        <w:rPr>
          <w:rFonts w:ascii="Lato Light" w:hAnsi="Lato Light" w:cstheme="majorHAnsi"/>
        </w:rPr>
      </w:pPr>
    </w:p>
    <w:tbl>
      <w:tblPr>
        <w:tblStyle w:val="TableGrid"/>
        <w:tblW w:w="0" w:type="auto"/>
        <w:jc w:val="center"/>
        <w:tblLook w:val="04A0" w:firstRow="1" w:lastRow="0" w:firstColumn="1" w:lastColumn="0" w:noHBand="0" w:noVBand="1"/>
      </w:tblPr>
      <w:tblGrid>
        <w:gridCol w:w="5485"/>
      </w:tblGrid>
      <w:tr w:rsidR="00266EF3" w14:paraId="2E1F0534" w14:textId="77777777" w:rsidTr="006826A3">
        <w:trPr>
          <w:jc w:val="center"/>
        </w:trPr>
        <w:tc>
          <w:tcPr>
            <w:tcW w:w="5485" w:type="dxa"/>
            <w:shd w:val="clear" w:color="auto" w:fill="F2F2F2" w:themeFill="background1" w:themeFillShade="F2"/>
          </w:tcPr>
          <w:p w14:paraId="7CA96C7C" w14:textId="351B460E" w:rsidR="00266EF3" w:rsidRPr="008C4703" w:rsidRDefault="00266EF3" w:rsidP="006826A3">
            <w:pPr>
              <w:jc w:val="center"/>
              <w:rPr>
                <w:rFonts w:ascii="Lato Light" w:hAnsi="Lato Light" w:cstheme="majorHAnsi"/>
                <w:b/>
                <w:bCs/>
              </w:rPr>
            </w:pPr>
            <w:r w:rsidRPr="008C4703">
              <w:rPr>
                <w:rFonts w:ascii="Lato Light" w:hAnsi="Lato Light" w:cstheme="majorHAnsi"/>
                <w:b/>
                <w:bCs/>
              </w:rPr>
              <w:t xml:space="preserve">Highly </w:t>
            </w:r>
            <w:r w:rsidR="006826A3">
              <w:rPr>
                <w:rFonts w:ascii="Lato Light" w:hAnsi="Lato Light" w:cstheme="majorHAnsi"/>
                <w:b/>
                <w:bCs/>
              </w:rPr>
              <w:t>C</w:t>
            </w:r>
            <w:r w:rsidRPr="008C4703">
              <w:rPr>
                <w:rFonts w:ascii="Lato Light" w:hAnsi="Lato Light" w:cstheme="majorHAnsi"/>
                <w:b/>
                <w:bCs/>
              </w:rPr>
              <w:t xml:space="preserve">ompensated </w:t>
            </w:r>
            <w:r w:rsidR="006826A3">
              <w:rPr>
                <w:rFonts w:ascii="Lato Light" w:hAnsi="Lato Light" w:cstheme="majorHAnsi"/>
                <w:b/>
                <w:bCs/>
              </w:rPr>
              <w:t>I</w:t>
            </w:r>
            <w:r>
              <w:rPr>
                <w:rFonts w:ascii="Lato Light" w:hAnsi="Lato Light" w:cstheme="majorHAnsi"/>
                <w:b/>
                <w:bCs/>
              </w:rPr>
              <w:t>ndividuals</w:t>
            </w:r>
          </w:p>
        </w:tc>
      </w:tr>
      <w:tr w:rsidR="00266EF3" w14:paraId="7D691641" w14:textId="77777777" w:rsidTr="006826A3">
        <w:trPr>
          <w:trHeight w:val="323"/>
          <w:jc w:val="center"/>
        </w:trPr>
        <w:tc>
          <w:tcPr>
            <w:tcW w:w="5485" w:type="dxa"/>
          </w:tcPr>
          <w:p w14:paraId="771772A8" w14:textId="16F77C8A" w:rsidR="00266EF3" w:rsidRDefault="00266EF3" w:rsidP="00745EE1">
            <w:pPr>
              <w:rPr>
                <w:rFonts w:ascii="Lato Light" w:hAnsi="Lato Light" w:cstheme="majorHAnsi"/>
              </w:rPr>
            </w:pPr>
            <w:r>
              <w:rPr>
                <w:rFonts w:ascii="Lato Light" w:hAnsi="Lato Light" w:cstheme="majorHAnsi"/>
              </w:rPr>
              <w:t>One of the five highest paid officers</w:t>
            </w:r>
          </w:p>
        </w:tc>
      </w:tr>
      <w:tr w:rsidR="00266EF3" w14:paraId="438EE02A" w14:textId="77777777" w:rsidTr="006826A3">
        <w:trPr>
          <w:trHeight w:val="350"/>
          <w:jc w:val="center"/>
        </w:trPr>
        <w:tc>
          <w:tcPr>
            <w:tcW w:w="5485" w:type="dxa"/>
          </w:tcPr>
          <w:p w14:paraId="4387A7CF" w14:textId="0DC4313E" w:rsidR="00266EF3" w:rsidRDefault="00266EF3" w:rsidP="00745EE1">
            <w:pPr>
              <w:rPr>
                <w:rFonts w:ascii="Lato Light" w:hAnsi="Lato Light" w:cstheme="majorHAnsi"/>
              </w:rPr>
            </w:pPr>
            <w:r w:rsidRPr="008C4703">
              <w:rPr>
                <w:rFonts w:ascii="Lato Light" w:hAnsi="Lato Light" w:cstheme="majorHAnsi"/>
              </w:rPr>
              <w:t>More-than-</w:t>
            </w:r>
            <w:r>
              <w:rPr>
                <w:rFonts w:ascii="Lato Light" w:hAnsi="Lato Light" w:cstheme="majorHAnsi"/>
              </w:rPr>
              <w:t>10</w:t>
            </w:r>
            <w:r w:rsidRPr="008C4703">
              <w:rPr>
                <w:rFonts w:ascii="Lato Light" w:hAnsi="Lato Light" w:cstheme="majorHAnsi"/>
              </w:rPr>
              <w:t>% shareholders in the current year</w:t>
            </w:r>
          </w:p>
        </w:tc>
      </w:tr>
      <w:tr w:rsidR="00266EF3" w14:paraId="46588979" w14:textId="77777777" w:rsidTr="006826A3">
        <w:trPr>
          <w:trHeight w:val="350"/>
          <w:jc w:val="center"/>
        </w:trPr>
        <w:tc>
          <w:tcPr>
            <w:tcW w:w="5485" w:type="dxa"/>
          </w:tcPr>
          <w:p w14:paraId="5B3A888B" w14:textId="0C843DF0" w:rsidR="00266EF3" w:rsidRPr="00266EF3" w:rsidRDefault="00266EF3" w:rsidP="00266EF3">
            <w:pPr>
              <w:rPr>
                <w:rFonts w:ascii="Lato Light" w:hAnsi="Lato Light" w:cstheme="majorHAnsi"/>
              </w:rPr>
            </w:pPr>
            <w:r>
              <w:rPr>
                <w:rFonts w:ascii="Lato Light" w:hAnsi="Lato Light" w:cstheme="majorHAnsi"/>
              </w:rPr>
              <w:t>Among the highest-paid 25% of all employees</w:t>
            </w:r>
          </w:p>
        </w:tc>
      </w:tr>
    </w:tbl>
    <w:p w14:paraId="1C2B4C26" w14:textId="77777777" w:rsidR="00CE1943" w:rsidRDefault="00CE1943" w:rsidP="00745EE1">
      <w:pPr>
        <w:spacing w:line="240" w:lineRule="auto"/>
        <w:rPr>
          <w:rFonts w:ascii="Lato Light" w:hAnsi="Lato Light" w:cstheme="majorHAnsi"/>
          <w:i/>
          <w:iCs/>
        </w:rPr>
      </w:pPr>
    </w:p>
    <w:p w14:paraId="574C49D8" w14:textId="3B4B4911" w:rsidR="008C4703" w:rsidRDefault="008C4703" w:rsidP="00745EE1">
      <w:pPr>
        <w:spacing w:line="240" w:lineRule="auto"/>
        <w:rPr>
          <w:rFonts w:ascii="Lato Light" w:hAnsi="Lato Light" w:cstheme="majorHAnsi"/>
        </w:rPr>
      </w:pPr>
      <w:r>
        <w:rPr>
          <w:rFonts w:ascii="Lato Light" w:hAnsi="Lato Light" w:cstheme="majorHAnsi"/>
        </w:rPr>
        <w:t>P</w:t>
      </w:r>
      <w:r w:rsidRPr="008C4703">
        <w:rPr>
          <w:rFonts w:ascii="Lato Light" w:hAnsi="Lato Light" w:cstheme="majorHAnsi"/>
        </w:rPr>
        <w:t xml:space="preserve">ass-through entity owners are not able to participate in </w:t>
      </w:r>
      <w:r w:rsidR="00266EF3">
        <w:rPr>
          <w:rFonts w:ascii="Lato Light" w:hAnsi="Lato Light" w:cstheme="majorHAnsi"/>
        </w:rPr>
        <w:t>HRAs or pre-tax FSAs</w:t>
      </w:r>
      <w:r w:rsidRPr="008C4703">
        <w:rPr>
          <w:rFonts w:ascii="Lato Light" w:hAnsi="Lato Light" w:cstheme="majorHAnsi"/>
        </w:rPr>
        <w:t xml:space="preserve">, so they are </w:t>
      </w:r>
      <w:r w:rsidR="00266EF3">
        <w:rPr>
          <w:rFonts w:ascii="Lato Light" w:hAnsi="Lato Light" w:cstheme="majorHAnsi"/>
        </w:rPr>
        <w:t>only</w:t>
      </w:r>
      <w:r w:rsidRPr="008C4703">
        <w:rPr>
          <w:rFonts w:ascii="Lato Light" w:hAnsi="Lato Light" w:cstheme="majorHAnsi"/>
        </w:rPr>
        <w:t xml:space="preserve"> part of this testing</w:t>
      </w:r>
      <w:r w:rsidR="00266EF3">
        <w:rPr>
          <w:rFonts w:ascii="Lato Light" w:hAnsi="Lato Light" w:cstheme="majorHAnsi"/>
        </w:rPr>
        <w:t xml:space="preserve"> with respect to self-</w:t>
      </w:r>
      <w:r w:rsidR="001F62F4">
        <w:rPr>
          <w:rFonts w:ascii="Lato Light" w:hAnsi="Lato Light" w:cstheme="majorHAnsi"/>
        </w:rPr>
        <w:t>insured</w:t>
      </w:r>
      <w:r w:rsidR="00266EF3">
        <w:rPr>
          <w:rFonts w:ascii="Lato Light" w:hAnsi="Lato Light" w:cstheme="majorHAnsi"/>
        </w:rPr>
        <w:t xml:space="preserve"> health plans that are not HRAs or FSAs</w:t>
      </w:r>
      <w:r w:rsidRPr="008C4703">
        <w:rPr>
          <w:rFonts w:ascii="Lato Light" w:hAnsi="Lato Light" w:cstheme="majorHAnsi"/>
        </w:rPr>
        <w:t>.</w:t>
      </w:r>
    </w:p>
    <w:p w14:paraId="6B4C3103" w14:textId="77777777" w:rsidR="00466B2B" w:rsidRPr="008C4703" w:rsidRDefault="00466B2B" w:rsidP="00745EE1">
      <w:pPr>
        <w:spacing w:line="240" w:lineRule="auto"/>
        <w:rPr>
          <w:rFonts w:ascii="Lato Light" w:hAnsi="Lato Light" w:cstheme="majorHAnsi"/>
        </w:rPr>
      </w:pPr>
    </w:p>
    <w:p w14:paraId="7B6510B1" w14:textId="781D6EA9" w:rsidR="007268CF" w:rsidRPr="007268CF" w:rsidRDefault="00CD797C" w:rsidP="00745EE1">
      <w:pPr>
        <w:spacing w:line="240" w:lineRule="auto"/>
        <w:rPr>
          <w:rFonts w:ascii="Lato Light" w:hAnsi="Lato Light" w:cstheme="majorHAnsi"/>
          <w:i/>
          <w:iCs/>
        </w:rPr>
      </w:pPr>
      <w:r>
        <w:rPr>
          <w:rFonts w:ascii="Lato Light" w:hAnsi="Lato Light" w:cstheme="majorHAnsi"/>
          <w:i/>
          <w:iCs/>
        </w:rPr>
        <w:t xml:space="preserve">1. </w:t>
      </w:r>
      <w:r w:rsidR="0062294B" w:rsidRPr="007268CF">
        <w:rPr>
          <w:rFonts w:ascii="Lato Light" w:hAnsi="Lato Light" w:cstheme="majorHAnsi"/>
          <w:i/>
          <w:iCs/>
        </w:rPr>
        <w:t>The Eligibility Tes</w:t>
      </w:r>
      <w:r w:rsidR="007268CF">
        <w:rPr>
          <w:rFonts w:ascii="Lato Light" w:hAnsi="Lato Light" w:cstheme="majorHAnsi"/>
          <w:i/>
          <w:iCs/>
        </w:rPr>
        <w:t>t</w:t>
      </w:r>
    </w:p>
    <w:p w14:paraId="4B57C972" w14:textId="77777777" w:rsidR="00CD797C" w:rsidRDefault="00CD797C" w:rsidP="00745EE1">
      <w:pPr>
        <w:spacing w:line="240" w:lineRule="auto"/>
        <w:rPr>
          <w:rFonts w:ascii="Lato Light" w:hAnsi="Lato Light" w:cstheme="majorHAnsi"/>
        </w:rPr>
      </w:pPr>
    </w:p>
    <w:p w14:paraId="5A370356" w14:textId="52A28BEF" w:rsidR="00266EF3" w:rsidRDefault="007268CF" w:rsidP="008C4703">
      <w:pPr>
        <w:spacing w:line="240" w:lineRule="auto"/>
        <w:rPr>
          <w:rFonts w:ascii="Lato Light" w:hAnsi="Lato Light" w:cstheme="majorHAnsi"/>
        </w:rPr>
      </w:pPr>
      <w:r>
        <w:rPr>
          <w:rFonts w:ascii="Lato Light" w:hAnsi="Lato Light" w:cstheme="majorHAnsi"/>
        </w:rPr>
        <w:t xml:space="preserve">The first test </w:t>
      </w:r>
      <w:r w:rsidR="0062294B">
        <w:rPr>
          <w:rFonts w:ascii="Lato Light" w:hAnsi="Lato Light" w:cstheme="majorHAnsi"/>
        </w:rPr>
        <w:t>needs to show that enough non-</w:t>
      </w:r>
      <w:r>
        <w:rPr>
          <w:rFonts w:ascii="Lato Light" w:hAnsi="Lato Light" w:cstheme="majorHAnsi"/>
        </w:rPr>
        <w:t>HCIs</w:t>
      </w:r>
      <w:r w:rsidR="0062294B">
        <w:rPr>
          <w:rFonts w:ascii="Lato Light" w:hAnsi="Lato Light" w:cstheme="majorHAnsi"/>
        </w:rPr>
        <w:t xml:space="preserve"> are eligible to </w:t>
      </w:r>
      <w:r w:rsidR="00266EF3">
        <w:rPr>
          <w:rFonts w:ascii="Lato Light" w:hAnsi="Lato Light" w:cstheme="majorHAnsi"/>
        </w:rPr>
        <w:t>participate</w:t>
      </w:r>
      <w:r w:rsidR="0062294B">
        <w:rPr>
          <w:rFonts w:ascii="Lato Light" w:hAnsi="Lato Light" w:cstheme="majorHAnsi"/>
        </w:rPr>
        <w:t>.</w:t>
      </w:r>
      <w:r>
        <w:rPr>
          <w:rFonts w:ascii="Lato Light" w:hAnsi="Lato Light" w:cstheme="majorHAnsi"/>
        </w:rPr>
        <w:t xml:space="preserve">  </w:t>
      </w:r>
      <w:r w:rsidR="00266EF3">
        <w:rPr>
          <w:rFonts w:ascii="Lato Light" w:hAnsi="Lato Light" w:cstheme="majorHAnsi"/>
        </w:rPr>
        <w:t xml:space="preserve">If the </w:t>
      </w:r>
      <w:r w:rsidR="00BC31B0">
        <w:rPr>
          <w:rFonts w:ascii="Lato Light" w:hAnsi="Lato Light" w:cstheme="majorHAnsi"/>
        </w:rPr>
        <w:t>self-</w:t>
      </w:r>
      <w:r w:rsidR="001F62F4">
        <w:rPr>
          <w:rFonts w:ascii="Lato Light" w:hAnsi="Lato Light" w:cstheme="majorHAnsi"/>
        </w:rPr>
        <w:t>insured</w:t>
      </w:r>
      <w:r w:rsidR="00BC31B0">
        <w:rPr>
          <w:rFonts w:ascii="Lato Light" w:hAnsi="Lato Light" w:cstheme="majorHAnsi"/>
        </w:rPr>
        <w:t xml:space="preserve"> health </w:t>
      </w:r>
      <w:r w:rsidR="00266EF3">
        <w:rPr>
          <w:rFonts w:ascii="Lato Light" w:hAnsi="Lato Light" w:cstheme="majorHAnsi"/>
        </w:rPr>
        <w:t>plan excludes part-time and/or seasonal employees, they can be excluded from testing.  The regulations generally define these excludable groups as follows:</w:t>
      </w:r>
    </w:p>
    <w:p w14:paraId="60022576" w14:textId="77777777" w:rsidR="006826A3" w:rsidRDefault="006826A3" w:rsidP="008C4703">
      <w:pPr>
        <w:spacing w:line="240" w:lineRule="auto"/>
        <w:rPr>
          <w:rFonts w:ascii="Lato Light" w:hAnsi="Lato Light" w:cstheme="majorHAnsi"/>
        </w:rPr>
      </w:pPr>
    </w:p>
    <w:p w14:paraId="00F47173" w14:textId="77777777" w:rsidR="00266EF3" w:rsidRDefault="00266EF3" w:rsidP="00266EF3">
      <w:pPr>
        <w:pStyle w:val="ListParagraph"/>
        <w:numPr>
          <w:ilvl w:val="0"/>
          <w:numId w:val="24"/>
        </w:numPr>
        <w:spacing w:line="240" w:lineRule="auto"/>
        <w:rPr>
          <w:rFonts w:ascii="Lato Light" w:hAnsi="Lato Light" w:cstheme="majorHAnsi"/>
        </w:rPr>
      </w:pPr>
      <w:r w:rsidRPr="00266EF3">
        <w:rPr>
          <w:rFonts w:ascii="Lato Light" w:hAnsi="Lato Light" w:cstheme="majorHAnsi"/>
          <w:i/>
          <w:iCs/>
        </w:rPr>
        <w:t>Part-time:</w:t>
      </w:r>
      <w:r w:rsidRPr="00266EF3">
        <w:rPr>
          <w:rFonts w:ascii="Lato Light" w:hAnsi="Lato Light" w:cstheme="majorHAnsi"/>
        </w:rPr>
        <w:t xml:space="preserve"> </w:t>
      </w:r>
      <w:r>
        <w:rPr>
          <w:rFonts w:ascii="Lato Light" w:hAnsi="Lato Light" w:cstheme="majorHAnsi"/>
        </w:rPr>
        <w:t>L</w:t>
      </w:r>
      <w:r w:rsidRPr="00266EF3">
        <w:rPr>
          <w:rFonts w:ascii="Lato Light" w:hAnsi="Lato Light" w:cstheme="majorHAnsi"/>
        </w:rPr>
        <w:t xml:space="preserve">ess than 35 hours per week if other employees performing similar work have substantially more hours, or </w:t>
      </w:r>
      <w:r>
        <w:rPr>
          <w:rFonts w:ascii="Lato Light" w:hAnsi="Lato Light" w:cstheme="majorHAnsi"/>
        </w:rPr>
        <w:t xml:space="preserve">less than 25 hours per week without comparing to other employees.  </w:t>
      </w:r>
    </w:p>
    <w:p w14:paraId="0F162046" w14:textId="0319F7B1" w:rsidR="007268CF" w:rsidRDefault="00266EF3" w:rsidP="00266EF3">
      <w:pPr>
        <w:pStyle w:val="ListParagraph"/>
        <w:numPr>
          <w:ilvl w:val="1"/>
          <w:numId w:val="24"/>
        </w:numPr>
        <w:spacing w:line="240" w:lineRule="auto"/>
        <w:rPr>
          <w:rFonts w:ascii="Lato Light" w:hAnsi="Lato Light" w:cstheme="majorHAnsi"/>
        </w:rPr>
      </w:pPr>
      <w:r>
        <w:rPr>
          <w:rFonts w:ascii="Lato Light" w:hAnsi="Lato Light" w:cstheme="majorHAnsi"/>
        </w:rPr>
        <w:lastRenderedPageBreak/>
        <w:t xml:space="preserve">We do not have guidance on whether the Affordable Care Act’s definition of part-time as less than 30 hours per week may be used instead.  Without direct guidance, excluding </w:t>
      </w:r>
      <w:r w:rsidR="00BC31B0">
        <w:rPr>
          <w:rFonts w:ascii="Lato Light" w:hAnsi="Lato Light" w:cstheme="majorHAnsi"/>
        </w:rPr>
        <w:t>ineligible employees</w:t>
      </w:r>
      <w:r>
        <w:rPr>
          <w:rFonts w:ascii="Lato Light" w:hAnsi="Lato Light" w:cstheme="majorHAnsi"/>
        </w:rPr>
        <w:t xml:space="preserve"> under 25 hours per week </w:t>
      </w:r>
      <w:r w:rsidR="00BC31B0">
        <w:rPr>
          <w:rFonts w:ascii="Lato Light" w:hAnsi="Lato Light" w:cstheme="majorHAnsi"/>
        </w:rPr>
        <w:t xml:space="preserve">from testing </w:t>
      </w:r>
      <w:r>
        <w:rPr>
          <w:rFonts w:ascii="Lato Light" w:hAnsi="Lato Light" w:cstheme="majorHAnsi"/>
        </w:rPr>
        <w:t>would mean those with 25 to less than 30 hours are included in the eligibility test.</w:t>
      </w:r>
    </w:p>
    <w:p w14:paraId="27F45A58" w14:textId="77777777" w:rsidR="00D87C2D" w:rsidRDefault="00D87C2D" w:rsidP="006826A3">
      <w:pPr>
        <w:pStyle w:val="ListParagraph"/>
        <w:spacing w:line="240" w:lineRule="auto"/>
        <w:ind w:left="1440"/>
        <w:rPr>
          <w:rFonts w:ascii="Lato Light" w:hAnsi="Lato Light" w:cstheme="majorHAnsi"/>
        </w:rPr>
      </w:pPr>
    </w:p>
    <w:p w14:paraId="455F58B5" w14:textId="70F460D4" w:rsidR="00266EF3" w:rsidRPr="00266EF3" w:rsidRDefault="00266EF3" w:rsidP="00266EF3">
      <w:pPr>
        <w:pStyle w:val="ListParagraph"/>
        <w:numPr>
          <w:ilvl w:val="0"/>
          <w:numId w:val="24"/>
        </w:numPr>
        <w:spacing w:line="240" w:lineRule="auto"/>
        <w:rPr>
          <w:rFonts w:ascii="Lato Light" w:hAnsi="Lato Light" w:cstheme="majorHAnsi"/>
        </w:rPr>
      </w:pPr>
      <w:r w:rsidRPr="00266EF3">
        <w:rPr>
          <w:rFonts w:ascii="Lato Light" w:hAnsi="Lato Light" w:cstheme="majorHAnsi"/>
          <w:i/>
          <w:iCs/>
        </w:rPr>
        <w:t>Seasonal:</w:t>
      </w:r>
      <w:r>
        <w:rPr>
          <w:rFonts w:ascii="Lato Light" w:hAnsi="Lato Light" w:cstheme="majorHAnsi"/>
        </w:rPr>
        <w:t xml:space="preserve"> Customary annual employment is less than nine months if other employees performing similar work have substantially more months of work, or less than seven months without comparing to other employees.</w:t>
      </w:r>
    </w:p>
    <w:p w14:paraId="23BAB6A1" w14:textId="77777777" w:rsidR="007268CF" w:rsidRDefault="007268CF" w:rsidP="00745EE1">
      <w:pPr>
        <w:spacing w:line="240" w:lineRule="auto"/>
        <w:rPr>
          <w:rFonts w:ascii="Lato Light" w:hAnsi="Lato Light" w:cstheme="majorHAnsi"/>
        </w:rPr>
      </w:pPr>
    </w:p>
    <w:p w14:paraId="02606560" w14:textId="4F875B40" w:rsidR="007268CF" w:rsidRDefault="007268CF" w:rsidP="00745EE1">
      <w:pPr>
        <w:spacing w:line="240" w:lineRule="auto"/>
        <w:rPr>
          <w:rFonts w:ascii="Lato Light" w:hAnsi="Lato Light" w:cstheme="majorHAnsi"/>
        </w:rPr>
      </w:pPr>
      <w:r w:rsidRPr="007268CF">
        <w:rPr>
          <w:rFonts w:ascii="Lato Light" w:hAnsi="Lato Light" w:cstheme="majorHAnsi"/>
        </w:rPr>
        <w:t>The</w:t>
      </w:r>
      <w:r w:rsidR="00266EF3">
        <w:rPr>
          <w:rFonts w:ascii="Lato Light" w:hAnsi="Lato Light" w:cstheme="majorHAnsi"/>
        </w:rPr>
        <w:t xml:space="preserve"> plan only needs to satisfy one</w:t>
      </w:r>
      <w:r w:rsidR="00D87C2D">
        <w:rPr>
          <w:rFonts w:ascii="Lato Light" w:hAnsi="Lato Light" w:cstheme="majorHAnsi"/>
        </w:rPr>
        <w:t xml:space="preserve"> of the three</w:t>
      </w:r>
      <w:r w:rsidR="00266EF3">
        <w:rPr>
          <w:rFonts w:ascii="Lato Light" w:hAnsi="Lato Light" w:cstheme="majorHAnsi"/>
        </w:rPr>
        <w:t xml:space="preserve"> eligibility test</w:t>
      </w:r>
      <w:r w:rsidR="00D87C2D">
        <w:rPr>
          <w:rFonts w:ascii="Lato Light" w:hAnsi="Lato Light" w:cstheme="majorHAnsi"/>
        </w:rPr>
        <w:t>s</w:t>
      </w:r>
      <w:r w:rsidRPr="007268CF">
        <w:rPr>
          <w:rFonts w:ascii="Lato Light" w:hAnsi="Lato Light" w:cstheme="majorHAnsi"/>
        </w:rPr>
        <w:t xml:space="preserve">: </w:t>
      </w:r>
    </w:p>
    <w:p w14:paraId="7B6A124B" w14:textId="77777777" w:rsidR="005A419B" w:rsidRDefault="005A419B" w:rsidP="00745EE1">
      <w:pPr>
        <w:spacing w:line="240" w:lineRule="auto"/>
        <w:rPr>
          <w:rFonts w:ascii="Lato Light" w:hAnsi="Lato Light" w:cstheme="majorHAnsi"/>
        </w:rPr>
      </w:pPr>
    </w:p>
    <w:p w14:paraId="5AE04B9A" w14:textId="328C4FB7" w:rsidR="007268CF" w:rsidRPr="007268CF" w:rsidRDefault="00266EF3" w:rsidP="007268CF">
      <w:pPr>
        <w:pStyle w:val="ListParagraph"/>
        <w:numPr>
          <w:ilvl w:val="0"/>
          <w:numId w:val="14"/>
        </w:numPr>
        <w:spacing w:line="240" w:lineRule="auto"/>
        <w:rPr>
          <w:rFonts w:ascii="Lato Light" w:hAnsi="Lato Light" w:cstheme="majorHAnsi"/>
        </w:rPr>
      </w:pPr>
      <w:r>
        <w:rPr>
          <w:rFonts w:ascii="Lato Light" w:hAnsi="Lato Light" w:cstheme="majorHAnsi"/>
        </w:rPr>
        <w:t xml:space="preserve">The 70% test, where 70% or more of all nonexcludable employees are </w:t>
      </w:r>
      <w:r w:rsidRPr="00266EF3">
        <w:rPr>
          <w:rFonts w:ascii="Lato Light" w:hAnsi="Lato Light" w:cstheme="majorHAnsi"/>
          <w:i/>
          <w:iCs/>
          <w:u w:val="single"/>
        </w:rPr>
        <w:t>enrolled</w:t>
      </w:r>
      <w:r>
        <w:rPr>
          <w:rFonts w:ascii="Lato Light" w:hAnsi="Lato Light" w:cstheme="majorHAnsi"/>
        </w:rPr>
        <w:t>; or</w:t>
      </w:r>
    </w:p>
    <w:p w14:paraId="3718BC11" w14:textId="027B9E38" w:rsidR="007268CF" w:rsidRPr="007268CF" w:rsidRDefault="00266EF3" w:rsidP="007268CF">
      <w:pPr>
        <w:pStyle w:val="ListParagraph"/>
        <w:numPr>
          <w:ilvl w:val="0"/>
          <w:numId w:val="14"/>
        </w:numPr>
        <w:spacing w:line="240" w:lineRule="auto"/>
        <w:rPr>
          <w:rFonts w:ascii="Lato Light" w:hAnsi="Lato Light" w:cstheme="majorHAnsi"/>
        </w:rPr>
      </w:pPr>
      <w:r>
        <w:rPr>
          <w:rFonts w:ascii="Lato Light" w:hAnsi="Lato Light" w:cstheme="majorHAnsi"/>
        </w:rPr>
        <w:t xml:space="preserve">The 70%/80% test, where 70% or more of all nonexcludable employees are </w:t>
      </w:r>
      <w:r w:rsidRPr="00266EF3">
        <w:rPr>
          <w:rFonts w:ascii="Lato Light" w:hAnsi="Lato Light" w:cstheme="majorHAnsi"/>
          <w:i/>
          <w:iCs/>
          <w:u w:val="single"/>
        </w:rPr>
        <w:t>eligible</w:t>
      </w:r>
      <w:r>
        <w:rPr>
          <w:rFonts w:ascii="Lato Light" w:hAnsi="Lato Light" w:cstheme="majorHAnsi"/>
        </w:rPr>
        <w:t xml:space="preserve"> and 80% or more of those eligible are </w:t>
      </w:r>
      <w:r w:rsidRPr="00266EF3">
        <w:rPr>
          <w:rFonts w:ascii="Lato Light" w:hAnsi="Lato Light" w:cstheme="majorHAnsi"/>
          <w:i/>
          <w:iCs/>
          <w:u w:val="single"/>
        </w:rPr>
        <w:t>enrolled</w:t>
      </w:r>
      <w:r>
        <w:rPr>
          <w:rFonts w:ascii="Lato Light" w:hAnsi="Lato Light" w:cstheme="majorHAnsi"/>
        </w:rPr>
        <w:t>; or</w:t>
      </w:r>
    </w:p>
    <w:p w14:paraId="63494F8D" w14:textId="25B8CD41" w:rsidR="007268CF" w:rsidRDefault="008C4703" w:rsidP="007268CF">
      <w:pPr>
        <w:pStyle w:val="ListParagraph"/>
        <w:numPr>
          <w:ilvl w:val="0"/>
          <w:numId w:val="14"/>
        </w:numPr>
        <w:spacing w:line="240" w:lineRule="auto"/>
        <w:rPr>
          <w:rFonts w:ascii="Lato Light" w:hAnsi="Lato Light" w:cstheme="majorHAnsi"/>
        </w:rPr>
      </w:pPr>
      <w:r>
        <w:rPr>
          <w:rFonts w:ascii="Lato Light" w:hAnsi="Lato Light" w:cstheme="majorHAnsi"/>
        </w:rPr>
        <w:t>A</w:t>
      </w:r>
      <w:r w:rsidR="007268CF" w:rsidRPr="007268CF">
        <w:rPr>
          <w:rFonts w:ascii="Lato Light" w:hAnsi="Lato Light" w:cstheme="majorHAnsi"/>
        </w:rPr>
        <w:t xml:space="preserve"> two-part Nondiscriminatory Classification Test requiring </w:t>
      </w:r>
    </w:p>
    <w:p w14:paraId="146C3A79" w14:textId="7F0658A8" w:rsidR="007268CF" w:rsidRDefault="008C4703" w:rsidP="007268CF">
      <w:pPr>
        <w:pStyle w:val="ListParagraph"/>
        <w:numPr>
          <w:ilvl w:val="1"/>
          <w:numId w:val="14"/>
        </w:numPr>
        <w:spacing w:line="240" w:lineRule="auto"/>
        <w:rPr>
          <w:rFonts w:ascii="Lato Light" w:hAnsi="Lato Light" w:cstheme="majorHAnsi"/>
        </w:rPr>
      </w:pPr>
      <w:r>
        <w:rPr>
          <w:rFonts w:ascii="Lato Light" w:hAnsi="Lato Light" w:cstheme="majorHAnsi"/>
        </w:rPr>
        <w:t>A</w:t>
      </w:r>
      <w:r w:rsidR="007268CF" w:rsidRPr="007268CF">
        <w:rPr>
          <w:rFonts w:ascii="Lato Light" w:hAnsi="Lato Light" w:cstheme="majorHAnsi"/>
        </w:rPr>
        <w:t xml:space="preserve"> bona fide business classification for </w:t>
      </w:r>
      <w:r w:rsidR="00266EF3">
        <w:rPr>
          <w:rFonts w:ascii="Lato Light" w:hAnsi="Lato Light" w:cstheme="majorHAnsi"/>
        </w:rPr>
        <w:t>any exclusion</w:t>
      </w:r>
      <w:r w:rsidR="007268CF" w:rsidRPr="007268CF">
        <w:rPr>
          <w:rFonts w:ascii="Lato Light" w:hAnsi="Lato Light" w:cstheme="majorHAnsi"/>
        </w:rPr>
        <w:t>; and</w:t>
      </w:r>
    </w:p>
    <w:p w14:paraId="5F3791B5" w14:textId="6B90845C" w:rsidR="007268CF" w:rsidRPr="007268CF" w:rsidRDefault="008C4703" w:rsidP="007268CF">
      <w:pPr>
        <w:pStyle w:val="ListParagraph"/>
        <w:numPr>
          <w:ilvl w:val="1"/>
          <w:numId w:val="14"/>
        </w:numPr>
        <w:spacing w:line="240" w:lineRule="auto"/>
        <w:rPr>
          <w:rFonts w:ascii="Lato Light" w:hAnsi="Lato Light" w:cstheme="majorHAnsi"/>
        </w:rPr>
      </w:pPr>
      <w:r>
        <w:rPr>
          <w:rFonts w:ascii="Lato Light" w:hAnsi="Lato Light" w:cstheme="majorHAnsi"/>
        </w:rPr>
        <w:t>A</w:t>
      </w:r>
      <w:r w:rsidR="007268CF" w:rsidRPr="007268CF">
        <w:rPr>
          <w:rFonts w:ascii="Lato Light" w:hAnsi="Lato Light" w:cstheme="majorHAnsi"/>
        </w:rPr>
        <w:t xml:space="preserve"> sufficient ratio of </w:t>
      </w:r>
      <w:r w:rsidR="00266EF3">
        <w:rPr>
          <w:rFonts w:ascii="Lato Light" w:hAnsi="Lato Light" w:cstheme="majorHAnsi"/>
        </w:rPr>
        <w:t>benefiting</w:t>
      </w:r>
      <w:r w:rsidR="007268CF" w:rsidRPr="007268CF">
        <w:rPr>
          <w:rFonts w:ascii="Lato Light" w:hAnsi="Lato Light" w:cstheme="majorHAnsi"/>
        </w:rPr>
        <w:t xml:space="preserve"> non-HCIs to </w:t>
      </w:r>
      <w:r w:rsidR="00266EF3">
        <w:rPr>
          <w:rFonts w:ascii="Lato Light" w:hAnsi="Lato Light" w:cstheme="majorHAnsi"/>
        </w:rPr>
        <w:t xml:space="preserve">benefiting </w:t>
      </w:r>
      <w:r w:rsidR="007268CF" w:rsidRPr="007268CF">
        <w:rPr>
          <w:rFonts w:ascii="Lato Light" w:hAnsi="Lato Light" w:cstheme="majorHAnsi"/>
        </w:rPr>
        <w:t>HCIs (a numeric test).</w:t>
      </w:r>
    </w:p>
    <w:p w14:paraId="4E990C2C" w14:textId="77777777" w:rsidR="007268CF" w:rsidRDefault="007268CF" w:rsidP="00745EE1">
      <w:pPr>
        <w:spacing w:line="240" w:lineRule="auto"/>
        <w:rPr>
          <w:rFonts w:ascii="Lato Light" w:hAnsi="Lato Light" w:cstheme="majorHAnsi"/>
        </w:rPr>
      </w:pPr>
    </w:p>
    <w:p w14:paraId="6FA655FF" w14:textId="7D8C8C55" w:rsidR="001F423C" w:rsidRPr="004D6B36" w:rsidRDefault="00CD797C" w:rsidP="00745EE1">
      <w:pPr>
        <w:spacing w:line="240" w:lineRule="auto"/>
        <w:rPr>
          <w:rFonts w:ascii="Lato Light" w:hAnsi="Lato Light" w:cstheme="majorHAnsi"/>
          <w:i/>
          <w:iCs/>
        </w:rPr>
      </w:pPr>
      <w:r>
        <w:rPr>
          <w:rFonts w:ascii="Lato Light" w:hAnsi="Lato Light" w:cstheme="majorHAnsi"/>
          <w:i/>
          <w:iCs/>
        </w:rPr>
        <w:t xml:space="preserve">2. The </w:t>
      </w:r>
      <w:r w:rsidR="004D6B36" w:rsidRPr="004D6B36">
        <w:rPr>
          <w:rFonts w:ascii="Lato Light" w:hAnsi="Lato Light" w:cstheme="majorHAnsi"/>
          <w:i/>
          <w:iCs/>
        </w:rPr>
        <w:t>Benefits Test</w:t>
      </w:r>
    </w:p>
    <w:p w14:paraId="54528C5F" w14:textId="77777777" w:rsidR="00BA73C2" w:rsidRPr="004D6B36" w:rsidRDefault="00BA73C2" w:rsidP="00745EE1">
      <w:pPr>
        <w:spacing w:line="240" w:lineRule="auto"/>
        <w:rPr>
          <w:rFonts w:ascii="Lato Light" w:hAnsi="Lato Light" w:cstheme="majorHAnsi"/>
        </w:rPr>
      </w:pPr>
    </w:p>
    <w:p w14:paraId="1832CFFF" w14:textId="08392F27" w:rsidR="006826A3" w:rsidRDefault="00266EF3" w:rsidP="00745EE1">
      <w:pPr>
        <w:spacing w:line="240" w:lineRule="auto"/>
        <w:rPr>
          <w:rFonts w:ascii="Lato Light" w:hAnsi="Lato Light" w:cstheme="majorHAnsi"/>
        </w:rPr>
      </w:pPr>
      <w:r>
        <w:rPr>
          <w:rFonts w:ascii="Lato Light" w:hAnsi="Lato Light" w:cstheme="majorHAnsi"/>
        </w:rPr>
        <w:t>T</w:t>
      </w:r>
      <w:r w:rsidR="00FE2FBC">
        <w:rPr>
          <w:rFonts w:ascii="Lato Light" w:hAnsi="Lato Light" w:cstheme="majorHAnsi"/>
        </w:rPr>
        <w:t>he regulations require “</w:t>
      </w:r>
      <w:r>
        <w:rPr>
          <w:rFonts w:ascii="Lato Light" w:hAnsi="Lato Light" w:cstheme="majorHAnsi"/>
        </w:rPr>
        <w:t>all benefits provided for participants who are HCIs are provided for all other participants,</w:t>
      </w:r>
      <w:r w:rsidR="002D2715">
        <w:rPr>
          <w:rFonts w:ascii="Lato Light" w:hAnsi="Lato Light" w:cstheme="majorHAnsi"/>
        </w:rPr>
        <w:t>”</w:t>
      </w:r>
      <w:r>
        <w:rPr>
          <w:rFonts w:ascii="Lato Light" w:hAnsi="Lato Light" w:cstheme="majorHAnsi"/>
        </w:rPr>
        <w:t xml:space="preserve"> including benefits for dependents.  Where optional (elective) benefits are made available, the test will be satisfied if</w:t>
      </w:r>
      <w:r w:rsidR="006826A3">
        <w:rPr>
          <w:rFonts w:ascii="Lato Light" w:hAnsi="Lato Light" w:cstheme="majorHAnsi"/>
        </w:rPr>
        <w:t>:</w:t>
      </w:r>
    </w:p>
    <w:p w14:paraId="40B67C5F" w14:textId="77777777" w:rsidR="006826A3" w:rsidRDefault="006826A3" w:rsidP="006826A3">
      <w:pPr>
        <w:spacing w:line="240" w:lineRule="auto"/>
        <w:rPr>
          <w:rFonts w:ascii="Lato Light" w:hAnsi="Lato Light" w:cstheme="majorHAnsi"/>
        </w:rPr>
      </w:pPr>
    </w:p>
    <w:p w14:paraId="1B7E55F2" w14:textId="5C4FFA02" w:rsidR="006826A3" w:rsidRDefault="006826A3" w:rsidP="006826A3">
      <w:pPr>
        <w:spacing w:line="240" w:lineRule="auto"/>
        <w:rPr>
          <w:rFonts w:ascii="Lato Light" w:hAnsi="Lato Light" w:cstheme="majorHAnsi"/>
        </w:rPr>
      </w:pPr>
      <w:r>
        <w:rPr>
          <w:rFonts w:ascii="Lato Light" w:hAnsi="Lato Light" w:cstheme="majorHAnsi"/>
        </w:rPr>
        <w:t xml:space="preserve">       </w:t>
      </w:r>
      <w:r w:rsidR="00266EF3">
        <w:rPr>
          <w:rFonts w:ascii="Lato Light" w:hAnsi="Lato Light" w:cstheme="majorHAnsi"/>
        </w:rPr>
        <w:t>(1) all participants are eligible for the optional benefit</w:t>
      </w:r>
      <w:r>
        <w:rPr>
          <w:rFonts w:ascii="Lato Light" w:hAnsi="Lato Light" w:cstheme="majorHAnsi"/>
        </w:rPr>
        <w:t>;</w:t>
      </w:r>
      <w:r w:rsidR="00266EF3">
        <w:rPr>
          <w:rFonts w:ascii="Lato Light" w:hAnsi="Lato Light" w:cstheme="majorHAnsi"/>
        </w:rPr>
        <w:t xml:space="preserve"> and</w:t>
      </w:r>
    </w:p>
    <w:p w14:paraId="4AAF96A7" w14:textId="77777777" w:rsidR="006826A3" w:rsidRDefault="006826A3" w:rsidP="006826A3">
      <w:pPr>
        <w:spacing w:line="240" w:lineRule="auto"/>
        <w:rPr>
          <w:rFonts w:ascii="Lato Light" w:hAnsi="Lato Light" w:cstheme="majorHAnsi"/>
        </w:rPr>
      </w:pPr>
      <w:r>
        <w:rPr>
          <w:rFonts w:ascii="Lato Light" w:hAnsi="Lato Light" w:cstheme="majorHAnsi"/>
        </w:rPr>
        <w:t xml:space="preserve">       </w:t>
      </w:r>
      <w:r w:rsidR="00266EF3">
        <w:rPr>
          <w:rFonts w:ascii="Lato Light" w:hAnsi="Lato Light" w:cstheme="majorHAnsi"/>
        </w:rPr>
        <w:t xml:space="preserve">(2) there is either no required contribution for the optional benefit or the contribution is identical for </w:t>
      </w:r>
      <w:r>
        <w:rPr>
          <w:rFonts w:ascii="Lato Light" w:hAnsi="Lato Light" w:cstheme="majorHAnsi"/>
        </w:rPr>
        <w:t xml:space="preserve">    </w:t>
      </w:r>
    </w:p>
    <w:p w14:paraId="47B8E5E5" w14:textId="06D1EF9D" w:rsidR="00266EF3" w:rsidRDefault="006826A3" w:rsidP="006826A3">
      <w:pPr>
        <w:spacing w:line="240" w:lineRule="auto"/>
        <w:rPr>
          <w:rFonts w:ascii="Lato Light" w:hAnsi="Lato Light" w:cstheme="majorHAnsi"/>
        </w:rPr>
      </w:pPr>
      <w:r>
        <w:rPr>
          <w:rFonts w:ascii="Lato Light" w:hAnsi="Lato Light" w:cstheme="majorHAnsi"/>
        </w:rPr>
        <w:t xml:space="preserve">            </w:t>
      </w:r>
      <w:r w:rsidR="00266EF3">
        <w:rPr>
          <w:rFonts w:ascii="Lato Light" w:hAnsi="Lato Light" w:cstheme="majorHAnsi"/>
        </w:rPr>
        <w:t>all participants.</w:t>
      </w:r>
    </w:p>
    <w:p w14:paraId="26E97AED" w14:textId="77777777" w:rsidR="00266EF3" w:rsidRDefault="00266EF3" w:rsidP="00745EE1">
      <w:pPr>
        <w:spacing w:line="240" w:lineRule="auto"/>
        <w:rPr>
          <w:rFonts w:ascii="Lato Light" w:hAnsi="Lato Light" w:cstheme="majorHAnsi"/>
        </w:rPr>
      </w:pPr>
    </w:p>
    <w:p w14:paraId="13AED4E1" w14:textId="4F228FD7" w:rsidR="00BA73C2" w:rsidRDefault="00266EF3" w:rsidP="00745EE1">
      <w:pPr>
        <w:spacing w:line="240" w:lineRule="auto"/>
        <w:rPr>
          <w:rFonts w:ascii="Lato Light" w:hAnsi="Lato Light" w:cstheme="majorHAnsi"/>
        </w:rPr>
      </w:pPr>
      <w:r>
        <w:rPr>
          <w:rFonts w:ascii="Lato Light" w:hAnsi="Lato Light" w:cstheme="majorHAnsi"/>
        </w:rPr>
        <w:t xml:space="preserve">Only employees </w:t>
      </w:r>
      <w:r w:rsidRPr="00266EF3">
        <w:rPr>
          <w:rFonts w:ascii="Lato Light" w:hAnsi="Lato Light" w:cstheme="majorHAnsi"/>
          <w:i/>
          <w:iCs/>
          <w:u w:val="single"/>
        </w:rPr>
        <w:t>participating</w:t>
      </w:r>
      <w:r>
        <w:rPr>
          <w:rFonts w:ascii="Lato Light" w:hAnsi="Lato Light" w:cstheme="majorHAnsi"/>
        </w:rPr>
        <w:t xml:space="preserve"> in the self-</w:t>
      </w:r>
      <w:r w:rsidR="001F62F4">
        <w:rPr>
          <w:rFonts w:ascii="Lato Light" w:hAnsi="Lato Light" w:cstheme="majorHAnsi"/>
        </w:rPr>
        <w:t>insured</w:t>
      </w:r>
      <w:r>
        <w:rPr>
          <w:rFonts w:ascii="Lato Light" w:hAnsi="Lato Light" w:cstheme="majorHAnsi"/>
        </w:rPr>
        <w:t xml:space="preserve"> health plan are included in the Benefits </w:t>
      </w:r>
      <w:r w:rsidR="00D87C2D">
        <w:rPr>
          <w:rFonts w:ascii="Lato Light" w:hAnsi="Lato Light" w:cstheme="majorHAnsi"/>
        </w:rPr>
        <w:t>T</w:t>
      </w:r>
      <w:r>
        <w:rPr>
          <w:rFonts w:ascii="Lato Light" w:hAnsi="Lato Light" w:cstheme="majorHAnsi"/>
        </w:rPr>
        <w:t>est.</w:t>
      </w:r>
    </w:p>
    <w:p w14:paraId="3E2F214E" w14:textId="529B94C1" w:rsidR="00FE2FBC" w:rsidRDefault="00FE2FBC" w:rsidP="00745EE1">
      <w:pPr>
        <w:spacing w:line="240" w:lineRule="auto"/>
        <w:rPr>
          <w:rFonts w:ascii="Lato Light" w:hAnsi="Lato Light" w:cstheme="majorHAnsi"/>
        </w:rPr>
      </w:pPr>
    </w:p>
    <w:p w14:paraId="5320AF21" w14:textId="0E1825FD" w:rsidR="00FE2FBC" w:rsidRDefault="00FE2FBC" w:rsidP="00745EE1">
      <w:pPr>
        <w:spacing w:line="240" w:lineRule="auto"/>
        <w:rPr>
          <w:rFonts w:ascii="Lato Light" w:hAnsi="Lato Light" w:cstheme="majorHAnsi"/>
        </w:rPr>
      </w:pPr>
      <w:r>
        <w:rPr>
          <w:rFonts w:ascii="Lato Light" w:hAnsi="Lato Light" w:cstheme="majorHAnsi"/>
        </w:rPr>
        <w:t xml:space="preserve">Regulations provide two </w:t>
      </w:r>
      <w:r w:rsidR="00266EF3">
        <w:rPr>
          <w:rFonts w:ascii="Lato Light" w:hAnsi="Lato Light" w:cstheme="majorHAnsi"/>
        </w:rPr>
        <w:t>components to the Benefits test</w:t>
      </w:r>
      <w:r>
        <w:rPr>
          <w:rFonts w:ascii="Lato Light" w:hAnsi="Lato Light" w:cstheme="majorHAnsi"/>
        </w:rPr>
        <w:t>:</w:t>
      </w:r>
    </w:p>
    <w:p w14:paraId="1F15F820" w14:textId="77777777" w:rsidR="005A419B" w:rsidRDefault="005A419B" w:rsidP="00745EE1">
      <w:pPr>
        <w:spacing w:line="240" w:lineRule="auto"/>
        <w:rPr>
          <w:rFonts w:ascii="Lato Light" w:hAnsi="Lato Light" w:cstheme="majorHAnsi"/>
        </w:rPr>
      </w:pPr>
    </w:p>
    <w:p w14:paraId="4E3DBDF4" w14:textId="064E81ED" w:rsidR="00FE2FBC" w:rsidRDefault="00266EF3" w:rsidP="00FE2FBC">
      <w:pPr>
        <w:pStyle w:val="ListParagraph"/>
        <w:numPr>
          <w:ilvl w:val="0"/>
          <w:numId w:val="16"/>
        </w:numPr>
        <w:spacing w:line="240" w:lineRule="auto"/>
        <w:rPr>
          <w:rFonts w:ascii="Lato Light" w:hAnsi="Lato Light" w:cstheme="majorHAnsi"/>
        </w:rPr>
      </w:pPr>
      <w:r>
        <w:rPr>
          <w:rFonts w:ascii="Lato Light" w:hAnsi="Lato Light" w:cstheme="majorHAnsi"/>
        </w:rPr>
        <w:t>No discrimination on the face of the plan</w:t>
      </w:r>
      <w:r w:rsidR="00FE2FBC">
        <w:rPr>
          <w:rFonts w:ascii="Lato Light" w:hAnsi="Lato Light" w:cstheme="majorHAnsi"/>
        </w:rPr>
        <w:t xml:space="preserve">; </w:t>
      </w:r>
      <w:r>
        <w:rPr>
          <w:rFonts w:ascii="Lato Light" w:hAnsi="Lato Light" w:cstheme="majorHAnsi"/>
        </w:rPr>
        <w:t>and</w:t>
      </w:r>
    </w:p>
    <w:p w14:paraId="02C7025F" w14:textId="0A6CA2E6" w:rsidR="00FE2FBC" w:rsidRDefault="00266EF3" w:rsidP="00FE2FBC">
      <w:pPr>
        <w:pStyle w:val="ListParagraph"/>
        <w:numPr>
          <w:ilvl w:val="0"/>
          <w:numId w:val="16"/>
        </w:numPr>
        <w:spacing w:line="240" w:lineRule="auto"/>
        <w:rPr>
          <w:rFonts w:ascii="Lato Light" w:hAnsi="Lato Light" w:cstheme="majorHAnsi"/>
        </w:rPr>
      </w:pPr>
      <w:r>
        <w:rPr>
          <w:rFonts w:ascii="Lato Light" w:hAnsi="Lato Light" w:cstheme="majorHAnsi"/>
        </w:rPr>
        <w:t>No discrimination in operation</w:t>
      </w:r>
      <w:r w:rsidR="00FE2FBC">
        <w:rPr>
          <w:rFonts w:ascii="Lato Light" w:hAnsi="Lato Light" w:cstheme="majorHAnsi"/>
        </w:rPr>
        <w:t>.</w:t>
      </w:r>
    </w:p>
    <w:p w14:paraId="735485A0" w14:textId="77777777" w:rsidR="00FE2FBC" w:rsidRDefault="00FE2FBC" w:rsidP="00FE2FBC">
      <w:pPr>
        <w:spacing w:line="240" w:lineRule="auto"/>
        <w:rPr>
          <w:rFonts w:ascii="Lato Light" w:hAnsi="Lato Light" w:cstheme="majorHAnsi"/>
        </w:rPr>
      </w:pPr>
    </w:p>
    <w:p w14:paraId="558634BB" w14:textId="0152CF06" w:rsidR="00FE2FBC" w:rsidRDefault="00266EF3" w:rsidP="00FE2FBC">
      <w:pPr>
        <w:spacing w:line="240" w:lineRule="auto"/>
        <w:rPr>
          <w:rFonts w:ascii="Lato Light" w:hAnsi="Lato Light" w:cstheme="majorHAnsi"/>
        </w:rPr>
      </w:pPr>
      <w:r>
        <w:rPr>
          <w:rFonts w:ascii="Lato Light" w:hAnsi="Lato Light" w:cstheme="majorHAnsi"/>
        </w:rPr>
        <w:t>There are several steps to prove the self-</w:t>
      </w:r>
      <w:r w:rsidR="001F62F4">
        <w:rPr>
          <w:rFonts w:ascii="Lato Light" w:hAnsi="Lato Light" w:cstheme="majorHAnsi"/>
        </w:rPr>
        <w:t>insured</w:t>
      </w:r>
      <w:r>
        <w:rPr>
          <w:rFonts w:ascii="Lato Light" w:hAnsi="Lato Light" w:cstheme="majorHAnsi"/>
        </w:rPr>
        <w:t xml:space="preserve"> health plan does not discriminate on its face</w:t>
      </w:r>
      <w:r w:rsidR="00614252">
        <w:rPr>
          <w:rFonts w:ascii="Lato Light" w:hAnsi="Lato Light" w:cstheme="majorHAnsi"/>
        </w:rPr>
        <w:t>:</w:t>
      </w:r>
    </w:p>
    <w:p w14:paraId="025FF692" w14:textId="77777777" w:rsidR="005A419B" w:rsidRDefault="005A419B" w:rsidP="00FE2FBC">
      <w:pPr>
        <w:spacing w:line="240" w:lineRule="auto"/>
        <w:rPr>
          <w:rFonts w:ascii="Lato Light" w:hAnsi="Lato Light" w:cstheme="majorHAnsi"/>
        </w:rPr>
      </w:pPr>
    </w:p>
    <w:p w14:paraId="4BBA0130" w14:textId="3F64973E" w:rsidR="00614252" w:rsidRDefault="00266EF3" w:rsidP="00614252">
      <w:pPr>
        <w:pStyle w:val="ListParagraph"/>
        <w:numPr>
          <w:ilvl w:val="0"/>
          <w:numId w:val="17"/>
        </w:numPr>
        <w:spacing w:line="240" w:lineRule="auto"/>
        <w:rPr>
          <w:rFonts w:ascii="Lato Light" w:hAnsi="Lato Light" w:cstheme="majorHAnsi"/>
        </w:rPr>
      </w:pPr>
      <w:r>
        <w:rPr>
          <w:rFonts w:ascii="Lato Light" w:hAnsi="Lato Light" w:cstheme="majorHAnsi"/>
        </w:rPr>
        <w:t>The required employee contributions must be identical for each benefit level.</w:t>
      </w:r>
    </w:p>
    <w:p w14:paraId="4C33F886" w14:textId="75F11653" w:rsidR="00614252" w:rsidRDefault="00266EF3" w:rsidP="00614252">
      <w:pPr>
        <w:pStyle w:val="ListParagraph"/>
        <w:numPr>
          <w:ilvl w:val="0"/>
          <w:numId w:val="17"/>
        </w:numPr>
        <w:spacing w:line="240" w:lineRule="auto"/>
        <w:rPr>
          <w:rFonts w:ascii="Lato Light" w:hAnsi="Lato Light" w:cstheme="majorHAnsi"/>
        </w:rPr>
      </w:pPr>
      <w:r>
        <w:rPr>
          <w:rFonts w:ascii="Lato Light" w:hAnsi="Lato Light" w:cstheme="majorHAnsi"/>
        </w:rPr>
        <w:t>The maximum benefit level cannot vary based on age, years of service, or compensation.</w:t>
      </w:r>
    </w:p>
    <w:p w14:paraId="373C1BF3" w14:textId="0C5F160B" w:rsidR="00266EF3" w:rsidRDefault="00266EF3" w:rsidP="00614252">
      <w:pPr>
        <w:pStyle w:val="ListParagraph"/>
        <w:numPr>
          <w:ilvl w:val="0"/>
          <w:numId w:val="17"/>
        </w:numPr>
        <w:spacing w:line="240" w:lineRule="auto"/>
        <w:rPr>
          <w:rFonts w:ascii="Lato Light" w:hAnsi="Lato Light" w:cstheme="majorHAnsi"/>
        </w:rPr>
      </w:pPr>
      <w:r>
        <w:rPr>
          <w:rFonts w:ascii="Lato Light" w:hAnsi="Lato Light" w:cstheme="majorHAnsi"/>
        </w:rPr>
        <w:t>All benefits subject to reimbursement under the plan must be provided on the same terms to both HCIs and non-HCIs.</w:t>
      </w:r>
    </w:p>
    <w:p w14:paraId="66AAB505" w14:textId="2B4E8A90" w:rsidR="00266EF3" w:rsidRDefault="00266EF3" w:rsidP="00614252">
      <w:pPr>
        <w:pStyle w:val="ListParagraph"/>
        <w:numPr>
          <w:ilvl w:val="0"/>
          <w:numId w:val="17"/>
        </w:numPr>
        <w:spacing w:line="240" w:lineRule="auto"/>
        <w:rPr>
          <w:rFonts w:ascii="Lato Light" w:hAnsi="Lato Light" w:cstheme="majorHAnsi"/>
        </w:rPr>
      </w:pPr>
      <w:r>
        <w:rPr>
          <w:rFonts w:ascii="Lato Light" w:hAnsi="Lato Light" w:cstheme="majorHAnsi"/>
        </w:rPr>
        <w:t>Different waiting periods for different groups of employees are prohibited.</w:t>
      </w:r>
    </w:p>
    <w:p w14:paraId="15A6FC64" w14:textId="77777777" w:rsidR="00266EF3" w:rsidRDefault="00266EF3" w:rsidP="00266EF3">
      <w:pPr>
        <w:spacing w:line="240" w:lineRule="auto"/>
        <w:rPr>
          <w:rFonts w:ascii="Lato Light" w:hAnsi="Lato Light" w:cstheme="majorHAnsi"/>
        </w:rPr>
      </w:pPr>
    </w:p>
    <w:p w14:paraId="5AF141DD" w14:textId="0EC43BD1" w:rsidR="00266EF3" w:rsidRDefault="00266EF3" w:rsidP="00266EF3">
      <w:pPr>
        <w:spacing w:line="240" w:lineRule="auto"/>
        <w:rPr>
          <w:rFonts w:ascii="Lato Light" w:hAnsi="Lato Light" w:cstheme="majorHAnsi"/>
        </w:rPr>
      </w:pPr>
      <w:r>
        <w:rPr>
          <w:rFonts w:ascii="Lato Light" w:hAnsi="Lato Light" w:cstheme="majorHAnsi"/>
        </w:rPr>
        <w:t xml:space="preserve">Finally, the plan cannot discriminate in operation.  Choosing to cover certain </w:t>
      </w:r>
      <w:r w:rsidR="00BC31B0">
        <w:rPr>
          <w:rFonts w:ascii="Lato Light" w:hAnsi="Lato Light" w:cstheme="majorHAnsi"/>
        </w:rPr>
        <w:t>self-</w:t>
      </w:r>
      <w:r w:rsidR="001F62F4">
        <w:rPr>
          <w:rFonts w:ascii="Lato Light" w:hAnsi="Lato Light" w:cstheme="majorHAnsi"/>
        </w:rPr>
        <w:t>insured</w:t>
      </w:r>
      <w:r w:rsidR="00BC31B0">
        <w:rPr>
          <w:rFonts w:ascii="Lato Light" w:hAnsi="Lato Light" w:cstheme="majorHAnsi"/>
        </w:rPr>
        <w:t xml:space="preserve"> health </w:t>
      </w:r>
      <w:r>
        <w:rPr>
          <w:rFonts w:ascii="Lato Light" w:hAnsi="Lato Light" w:cstheme="majorHAnsi"/>
        </w:rPr>
        <w:t>benefits only for HCIs or only during a time period that one or more HCIs needs them are examples of discriminating in operation.</w:t>
      </w:r>
    </w:p>
    <w:p w14:paraId="3FA82F34" w14:textId="77777777" w:rsidR="00266EF3" w:rsidRDefault="00266EF3" w:rsidP="00266EF3">
      <w:pPr>
        <w:spacing w:line="240" w:lineRule="auto"/>
        <w:rPr>
          <w:rFonts w:ascii="Lato Light" w:hAnsi="Lato Light" w:cstheme="majorHAnsi"/>
        </w:rPr>
      </w:pPr>
    </w:p>
    <w:p w14:paraId="02B306BA" w14:textId="77777777" w:rsidR="006826A3" w:rsidRDefault="006826A3" w:rsidP="00266EF3">
      <w:pPr>
        <w:spacing w:line="240" w:lineRule="auto"/>
        <w:rPr>
          <w:rFonts w:ascii="Lato Light" w:hAnsi="Lato Light" w:cstheme="majorHAnsi"/>
          <w:b/>
          <w:bCs/>
        </w:rPr>
      </w:pPr>
    </w:p>
    <w:p w14:paraId="416DE89D" w14:textId="77777777" w:rsidR="006826A3" w:rsidRDefault="006826A3" w:rsidP="00266EF3">
      <w:pPr>
        <w:spacing w:line="240" w:lineRule="auto"/>
        <w:rPr>
          <w:rFonts w:ascii="Lato Light" w:hAnsi="Lato Light" w:cstheme="majorHAnsi"/>
          <w:b/>
          <w:bCs/>
        </w:rPr>
      </w:pPr>
    </w:p>
    <w:p w14:paraId="7874F3D6" w14:textId="77777777" w:rsidR="006826A3" w:rsidRDefault="006826A3" w:rsidP="00266EF3">
      <w:pPr>
        <w:spacing w:line="240" w:lineRule="auto"/>
        <w:rPr>
          <w:rFonts w:ascii="Lato Light" w:hAnsi="Lato Light" w:cstheme="majorHAnsi"/>
          <w:b/>
          <w:bCs/>
        </w:rPr>
      </w:pPr>
    </w:p>
    <w:p w14:paraId="3AD6FA8D" w14:textId="3081A3C8" w:rsidR="00266EF3" w:rsidRPr="00266EF3" w:rsidRDefault="00266EF3" w:rsidP="00266EF3">
      <w:pPr>
        <w:spacing w:line="240" w:lineRule="auto"/>
        <w:rPr>
          <w:rFonts w:ascii="Lato Light" w:hAnsi="Lato Light" w:cstheme="majorHAnsi"/>
          <w:b/>
          <w:bCs/>
        </w:rPr>
      </w:pPr>
      <w:r w:rsidRPr="00266EF3">
        <w:rPr>
          <w:rFonts w:ascii="Lato Light" w:hAnsi="Lato Light" w:cstheme="majorHAnsi"/>
          <w:b/>
          <w:bCs/>
        </w:rPr>
        <w:t>Safe Harbors</w:t>
      </w:r>
    </w:p>
    <w:p w14:paraId="537771E2" w14:textId="77777777" w:rsidR="00266EF3" w:rsidRDefault="00266EF3" w:rsidP="00266EF3">
      <w:pPr>
        <w:spacing w:line="240" w:lineRule="auto"/>
        <w:rPr>
          <w:rFonts w:ascii="Lato Light" w:hAnsi="Lato Light" w:cstheme="majorHAnsi"/>
        </w:rPr>
      </w:pPr>
    </w:p>
    <w:p w14:paraId="723FEF6F" w14:textId="1EED1F88" w:rsidR="00266EF3" w:rsidRDefault="00266EF3" w:rsidP="00266EF3">
      <w:pPr>
        <w:spacing w:line="240" w:lineRule="auto"/>
        <w:rPr>
          <w:rFonts w:ascii="Lato Light" w:hAnsi="Lato Light" w:cstheme="majorHAnsi"/>
        </w:rPr>
      </w:pPr>
      <w:r>
        <w:rPr>
          <w:rFonts w:ascii="Lato Light" w:hAnsi="Lato Light" w:cstheme="majorHAnsi"/>
        </w:rPr>
        <w:t>There is a safe harbor to provide annual physicals with x-rays and blood tests to just executives or HCIs without running §105(h) NDT on these physicals, but the safe harbor does not extend to their dependents and there are limits to what can be covered.</w:t>
      </w:r>
    </w:p>
    <w:p w14:paraId="01A2E985" w14:textId="77777777" w:rsidR="00266EF3" w:rsidRDefault="00266EF3" w:rsidP="00266EF3">
      <w:pPr>
        <w:spacing w:line="240" w:lineRule="auto"/>
        <w:rPr>
          <w:rFonts w:ascii="Lato Light" w:hAnsi="Lato Light" w:cstheme="majorHAnsi"/>
        </w:rPr>
      </w:pPr>
    </w:p>
    <w:p w14:paraId="33D10BCF" w14:textId="60A8BF6D" w:rsidR="00266EF3" w:rsidRDefault="00266EF3" w:rsidP="00266EF3">
      <w:pPr>
        <w:spacing w:line="240" w:lineRule="auto"/>
        <w:rPr>
          <w:rFonts w:ascii="Lato Light" w:hAnsi="Lato Light" w:cstheme="majorHAnsi"/>
        </w:rPr>
      </w:pPr>
      <w:r>
        <w:rPr>
          <w:rFonts w:ascii="Lato Light" w:hAnsi="Lato Light" w:cstheme="majorHAnsi"/>
        </w:rPr>
        <w:t>Another safe harbor allows offering self-</w:t>
      </w:r>
      <w:r w:rsidR="001F62F4">
        <w:rPr>
          <w:rFonts w:ascii="Lato Light" w:hAnsi="Lato Light" w:cstheme="majorHAnsi"/>
        </w:rPr>
        <w:t>insured</w:t>
      </w:r>
      <w:r>
        <w:rPr>
          <w:rFonts w:ascii="Lato Light" w:hAnsi="Lato Light" w:cstheme="majorHAnsi"/>
        </w:rPr>
        <w:t xml:space="preserve"> retiree health benefits without running §105(h) NDT on them.  However, if an HCI retires and benefits from the self-</w:t>
      </w:r>
      <w:r w:rsidR="001F62F4">
        <w:rPr>
          <w:rFonts w:ascii="Lato Light" w:hAnsi="Lato Light" w:cstheme="majorHAnsi"/>
        </w:rPr>
        <w:t>insured</w:t>
      </w:r>
      <w:r>
        <w:rPr>
          <w:rFonts w:ascii="Lato Light" w:hAnsi="Lato Light" w:cstheme="majorHAnsi"/>
        </w:rPr>
        <w:t xml:space="preserve"> health plan, then the HCI retiree may have to be added back to the §105(h) testing unless all retirees are eligible for the same self-</w:t>
      </w:r>
      <w:r w:rsidR="001F62F4">
        <w:rPr>
          <w:rFonts w:ascii="Lato Light" w:hAnsi="Lato Light" w:cstheme="majorHAnsi"/>
        </w:rPr>
        <w:t>insured</w:t>
      </w:r>
      <w:r>
        <w:rPr>
          <w:rFonts w:ascii="Lato Light" w:hAnsi="Lato Light" w:cstheme="majorHAnsi"/>
        </w:rPr>
        <w:t xml:space="preserve"> retiree benefits under the same terms.</w:t>
      </w:r>
    </w:p>
    <w:p w14:paraId="4AA6071A" w14:textId="77777777" w:rsidR="00266EF3" w:rsidRDefault="00266EF3" w:rsidP="00266EF3">
      <w:pPr>
        <w:spacing w:line="240" w:lineRule="auto"/>
        <w:rPr>
          <w:rFonts w:ascii="Lato Light" w:hAnsi="Lato Light" w:cstheme="majorHAnsi"/>
        </w:rPr>
      </w:pPr>
    </w:p>
    <w:p w14:paraId="548F29E1" w14:textId="2BCC860F" w:rsidR="00266EF3" w:rsidRPr="00266EF3" w:rsidRDefault="00266EF3" w:rsidP="00266EF3">
      <w:pPr>
        <w:spacing w:line="240" w:lineRule="auto"/>
      </w:pPr>
      <w:r>
        <w:rPr>
          <w:rFonts w:ascii="Lato Light" w:hAnsi="Lato Light" w:cstheme="majorHAnsi"/>
        </w:rPr>
        <w:t>Finally, there is a safe harbor related to HMOs so that an employer providing the same contribution to the HMO plan as they provide to the self-</w:t>
      </w:r>
      <w:r w:rsidR="001F62F4">
        <w:rPr>
          <w:rFonts w:ascii="Lato Light" w:hAnsi="Lato Light" w:cstheme="majorHAnsi"/>
        </w:rPr>
        <w:t>insured</w:t>
      </w:r>
      <w:r>
        <w:rPr>
          <w:rFonts w:ascii="Lato Light" w:hAnsi="Lato Light" w:cstheme="majorHAnsi"/>
        </w:rPr>
        <w:t xml:space="preserve"> plan and designating them as a single health plan may include the HMO participants as being enrolled in the self-</w:t>
      </w:r>
      <w:r w:rsidR="001F62F4">
        <w:rPr>
          <w:rFonts w:ascii="Lato Light" w:hAnsi="Lato Light" w:cstheme="majorHAnsi"/>
        </w:rPr>
        <w:t>insured</w:t>
      </w:r>
      <w:r>
        <w:rPr>
          <w:rFonts w:ascii="Lato Light" w:hAnsi="Lato Light" w:cstheme="majorHAnsi"/>
        </w:rPr>
        <w:t xml:space="preserve"> plan for eligibility testing purposes.</w:t>
      </w:r>
    </w:p>
    <w:p w14:paraId="12209CB5" w14:textId="056BDF21" w:rsidR="00BA73C2" w:rsidRDefault="00BA73C2" w:rsidP="00745EE1">
      <w:pPr>
        <w:spacing w:line="240" w:lineRule="auto"/>
        <w:rPr>
          <w:rFonts w:ascii="Lato Light" w:hAnsi="Lato Light" w:cstheme="majorHAnsi"/>
        </w:rPr>
      </w:pPr>
    </w:p>
    <w:p w14:paraId="113A6A81" w14:textId="4C92F337" w:rsidR="001F423C" w:rsidRPr="00731213" w:rsidRDefault="001F423C" w:rsidP="00745EE1">
      <w:pPr>
        <w:spacing w:line="240" w:lineRule="auto"/>
        <w:rPr>
          <w:rFonts w:ascii="Lato Light" w:hAnsi="Lato Light" w:cstheme="majorHAnsi"/>
          <w:b/>
          <w:bCs/>
        </w:rPr>
      </w:pPr>
      <w:r w:rsidRPr="00731213">
        <w:rPr>
          <w:rFonts w:ascii="Lato Light" w:hAnsi="Lato Light" w:cstheme="majorHAnsi"/>
          <w:b/>
          <w:bCs/>
        </w:rPr>
        <w:t>Consequences of Non-</w:t>
      </w:r>
      <w:r w:rsidR="00731213">
        <w:rPr>
          <w:rFonts w:ascii="Lato Light" w:hAnsi="Lato Light" w:cstheme="majorHAnsi"/>
          <w:b/>
          <w:bCs/>
        </w:rPr>
        <w:t>C</w:t>
      </w:r>
      <w:r w:rsidRPr="00731213">
        <w:rPr>
          <w:rFonts w:ascii="Lato Light" w:hAnsi="Lato Light" w:cstheme="majorHAnsi"/>
          <w:b/>
          <w:bCs/>
        </w:rPr>
        <w:t>ompliance:</w:t>
      </w:r>
    </w:p>
    <w:p w14:paraId="5C1CA987" w14:textId="77777777" w:rsidR="001F423C" w:rsidRPr="00731213" w:rsidRDefault="001F423C" w:rsidP="00745EE1">
      <w:pPr>
        <w:spacing w:line="240" w:lineRule="auto"/>
        <w:rPr>
          <w:rFonts w:ascii="Lato Light" w:hAnsi="Lato Light" w:cstheme="majorHAnsi"/>
          <w:b/>
          <w:bCs/>
        </w:rPr>
      </w:pPr>
    </w:p>
    <w:p w14:paraId="452A0AB3" w14:textId="0532A895" w:rsidR="00466B2B" w:rsidRDefault="00266EF3" w:rsidP="00466B2B">
      <w:pPr>
        <w:spacing w:line="240" w:lineRule="auto"/>
        <w:rPr>
          <w:rFonts w:ascii="Lato Light" w:hAnsi="Lato Light" w:cstheme="majorHAnsi"/>
        </w:rPr>
      </w:pPr>
      <w:r>
        <w:rPr>
          <w:rFonts w:ascii="Lato Light" w:hAnsi="Lato Light" w:cstheme="majorHAnsi"/>
        </w:rPr>
        <w:t>To</w:t>
      </w:r>
      <w:r w:rsidR="00466B2B">
        <w:rPr>
          <w:rFonts w:ascii="Lato Light" w:hAnsi="Lato Light" w:cstheme="majorHAnsi"/>
        </w:rPr>
        <w:t xml:space="preserve"> the extent </w:t>
      </w:r>
      <w:r w:rsidR="00BC31B0">
        <w:rPr>
          <w:rFonts w:ascii="Lato Light" w:hAnsi="Lato Light" w:cstheme="majorHAnsi"/>
        </w:rPr>
        <w:t>a</w:t>
      </w:r>
      <w:r>
        <w:rPr>
          <w:rFonts w:ascii="Lato Light" w:hAnsi="Lato Light" w:cstheme="majorHAnsi"/>
        </w:rPr>
        <w:t xml:space="preserve"> self-</w:t>
      </w:r>
      <w:r w:rsidR="001F62F4">
        <w:rPr>
          <w:rFonts w:ascii="Lato Light" w:hAnsi="Lato Light" w:cstheme="majorHAnsi"/>
        </w:rPr>
        <w:t>insured</w:t>
      </w:r>
      <w:r>
        <w:rPr>
          <w:rFonts w:ascii="Lato Light" w:hAnsi="Lato Light" w:cstheme="majorHAnsi"/>
        </w:rPr>
        <w:t xml:space="preserve"> health plan</w:t>
      </w:r>
      <w:r w:rsidR="00466B2B">
        <w:rPr>
          <w:rFonts w:ascii="Lato Light" w:hAnsi="Lato Light" w:cstheme="majorHAnsi"/>
        </w:rPr>
        <w:t xml:space="preserve"> overly favor</w:t>
      </w:r>
      <w:r w:rsidR="00BC31B0">
        <w:rPr>
          <w:rFonts w:ascii="Lato Light" w:hAnsi="Lato Light" w:cstheme="majorHAnsi"/>
        </w:rPr>
        <w:t>s</w:t>
      </w:r>
      <w:r w:rsidR="00466B2B">
        <w:rPr>
          <w:rFonts w:ascii="Lato Light" w:hAnsi="Lato Light" w:cstheme="majorHAnsi"/>
        </w:rPr>
        <w:t xml:space="preserve"> </w:t>
      </w:r>
      <w:r>
        <w:rPr>
          <w:rFonts w:ascii="Lato Light" w:hAnsi="Lato Light" w:cstheme="majorHAnsi"/>
        </w:rPr>
        <w:t>HCI</w:t>
      </w:r>
      <w:r w:rsidR="00466B2B">
        <w:rPr>
          <w:rFonts w:ascii="Lato Light" w:hAnsi="Lato Light" w:cstheme="majorHAnsi"/>
        </w:rPr>
        <w:t xml:space="preserve">s, the favorable tax treatment is </w:t>
      </w:r>
      <w:r>
        <w:rPr>
          <w:rFonts w:ascii="Lato Light" w:hAnsi="Lato Light" w:cstheme="majorHAnsi"/>
        </w:rPr>
        <w:t xml:space="preserve">partially </w:t>
      </w:r>
      <w:r w:rsidR="00466B2B">
        <w:rPr>
          <w:rFonts w:ascii="Lato Light" w:hAnsi="Lato Light" w:cstheme="majorHAnsi"/>
        </w:rPr>
        <w:t>removed for those individuals</w:t>
      </w:r>
      <w:r>
        <w:rPr>
          <w:rFonts w:ascii="Lato Light" w:hAnsi="Lato Light" w:cstheme="majorHAnsi"/>
        </w:rPr>
        <w:t xml:space="preserve"> with respect to that plan</w:t>
      </w:r>
      <w:r w:rsidR="00466B2B" w:rsidRPr="00731213">
        <w:rPr>
          <w:rFonts w:ascii="Lato Light" w:hAnsi="Lato Light" w:cstheme="majorHAnsi"/>
        </w:rPr>
        <w:t>.</w:t>
      </w:r>
    </w:p>
    <w:p w14:paraId="2AB9DE5B" w14:textId="77777777" w:rsidR="00466B2B" w:rsidRDefault="00466B2B" w:rsidP="00745EE1">
      <w:pPr>
        <w:spacing w:line="240" w:lineRule="auto"/>
        <w:rPr>
          <w:rFonts w:ascii="Lato Light" w:hAnsi="Lato Light" w:cstheme="majorHAnsi"/>
        </w:rPr>
      </w:pPr>
    </w:p>
    <w:p w14:paraId="23F84D6A" w14:textId="3E884656" w:rsidR="00496C84" w:rsidRDefault="001F578D" w:rsidP="00496C84">
      <w:pPr>
        <w:pStyle w:val="ListParagraph"/>
        <w:numPr>
          <w:ilvl w:val="0"/>
          <w:numId w:val="22"/>
        </w:numPr>
        <w:spacing w:line="240" w:lineRule="auto"/>
        <w:rPr>
          <w:rFonts w:ascii="Lato Light" w:hAnsi="Lato Light" w:cstheme="majorHAnsi"/>
        </w:rPr>
      </w:pPr>
      <w:r w:rsidRPr="00496C84">
        <w:rPr>
          <w:rFonts w:ascii="Lato Light" w:hAnsi="Lato Light" w:cstheme="majorHAnsi"/>
        </w:rPr>
        <w:t xml:space="preserve">A failure of the Eligibility Test results in </w:t>
      </w:r>
      <w:r w:rsidR="00266EF3">
        <w:rPr>
          <w:rFonts w:ascii="Lato Light" w:hAnsi="Lato Light" w:cstheme="majorHAnsi"/>
        </w:rPr>
        <w:t>HCIs</w:t>
      </w:r>
      <w:r w:rsidRPr="00496C84">
        <w:rPr>
          <w:rFonts w:ascii="Lato Light" w:hAnsi="Lato Light" w:cstheme="majorHAnsi"/>
        </w:rPr>
        <w:t xml:space="preserve"> </w:t>
      </w:r>
      <w:r w:rsidR="00266EF3">
        <w:rPr>
          <w:rFonts w:ascii="Lato Light" w:hAnsi="Lato Light" w:cstheme="majorHAnsi"/>
        </w:rPr>
        <w:t>being taxed on “excess reimbursements</w:t>
      </w:r>
      <w:r w:rsidR="00827324" w:rsidRPr="00496C84">
        <w:rPr>
          <w:rFonts w:ascii="Lato Light" w:hAnsi="Lato Light" w:cstheme="majorHAnsi"/>
        </w:rPr>
        <w:t>.</w:t>
      </w:r>
      <w:r w:rsidR="00266EF3">
        <w:rPr>
          <w:rFonts w:ascii="Lato Light" w:hAnsi="Lato Light" w:cstheme="majorHAnsi"/>
        </w:rPr>
        <w:t>”</w:t>
      </w:r>
    </w:p>
    <w:p w14:paraId="47C4D00A" w14:textId="280132B9" w:rsidR="00266EF3" w:rsidRDefault="00266EF3" w:rsidP="00266EF3">
      <w:pPr>
        <w:pStyle w:val="ListParagraph"/>
        <w:numPr>
          <w:ilvl w:val="1"/>
          <w:numId w:val="22"/>
        </w:numPr>
        <w:spacing w:line="240" w:lineRule="auto"/>
        <w:rPr>
          <w:rFonts w:ascii="Lato Light" w:hAnsi="Lato Light" w:cstheme="majorHAnsi"/>
        </w:rPr>
      </w:pPr>
      <w:r>
        <w:rPr>
          <w:rFonts w:ascii="Lato Light" w:hAnsi="Lato Light" w:cstheme="majorHAnsi"/>
        </w:rPr>
        <w:t>The plan must tax all HCI benefits by a ratio of total benefits paid during that plan year for all HCIs divided by total benefits paid during that plan year for all participants</w:t>
      </w:r>
      <w:r w:rsidRPr="00496C84">
        <w:rPr>
          <w:rFonts w:ascii="Lato Light" w:hAnsi="Lato Light" w:cstheme="majorHAnsi"/>
        </w:rPr>
        <w:t xml:space="preserve">.  </w:t>
      </w:r>
    </w:p>
    <w:p w14:paraId="2EBFD7BD" w14:textId="7CE37CE8" w:rsidR="00266EF3" w:rsidRDefault="00266EF3" w:rsidP="00266EF3">
      <w:pPr>
        <w:pStyle w:val="ListParagraph"/>
        <w:numPr>
          <w:ilvl w:val="1"/>
          <w:numId w:val="22"/>
        </w:numPr>
        <w:spacing w:line="240" w:lineRule="auto"/>
        <w:rPr>
          <w:rFonts w:ascii="Lato Light" w:hAnsi="Lato Light" w:cstheme="majorHAnsi"/>
        </w:rPr>
      </w:pPr>
      <w:r>
        <w:rPr>
          <w:rFonts w:ascii="Lato Light" w:hAnsi="Lato Light" w:cstheme="majorHAnsi"/>
        </w:rPr>
        <w:t>For example, if HCIs in the aggregate received 40% of plan benefits, then 40% of each HCI’s actual reimbursements from the self-</w:t>
      </w:r>
      <w:r w:rsidR="001F62F4">
        <w:rPr>
          <w:rFonts w:ascii="Lato Light" w:hAnsi="Lato Light" w:cstheme="majorHAnsi"/>
        </w:rPr>
        <w:t>insured</w:t>
      </w:r>
      <w:r>
        <w:rPr>
          <w:rFonts w:ascii="Lato Light" w:hAnsi="Lato Light" w:cstheme="majorHAnsi"/>
        </w:rPr>
        <w:t xml:space="preserve"> plan would be taxable.</w:t>
      </w:r>
    </w:p>
    <w:p w14:paraId="0E384FEB" w14:textId="77777777" w:rsidR="00D87C2D" w:rsidRDefault="00D87C2D" w:rsidP="006826A3">
      <w:pPr>
        <w:pStyle w:val="ListParagraph"/>
        <w:spacing w:line="240" w:lineRule="auto"/>
        <w:ind w:left="1440"/>
        <w:rPr>
          <w:rFonts w:ascii="Lato Light" w:hAnsi="Lato Light" w:cstheme="majorHAnsi"/>
        </w:rPr>
      </w:pPr>
    </w:p>
    <w:p w14:paraId="360159E4" w14:textId="55E8E222" w:rsidR="00496C84" w:rsidRDefault="001F578D" w:rsidP="00496C84">
      <w:pPr>
        <w:pStyle w:val="ListParagraph"/>
        <w:numPr>
          <w:ilvl w:val="0"/>
          <w:numId w:val="22"/>
        </w:numPr>
        <w:spacing w:line="240" w:lineRule="auto"/>
        <w:rPr>
          <w:rFonts w:ascii="Lato Light" w:hAnsi="Lato Light" w:cstheme="majorHAnsi"/>
        </w:rPr>
      </w:pPr>
      <w:r w:rsidRPr="00496C84">
        <w:rPr>
          <w:rFonts w:ascii="Lato Light" w:hAnsi="Lato Light" w:cstheme="majorHAnsi"/>
        </w:rPr>
        <w:t xml:space="preserve">A failure of the </w:t>
      </w:r>
      <w:r w:rsidR="00266EF3">
        <w:rPr>
          <w:rFonts w:ascii="Lato Light" w:hAnsi="Lato Light" w:cstheme="majorHAnsi"/>
        </w:rPr>
        <w:t>Benefits</w:t>
      </w:r>
      <w:r w:rsidRPr="00496C84">
        <w:rPr>
          <w:rFonts w:ascii="Lato Light" w:hAnsi="Lato Light" w:cstheme="majorHAnsi"/>
        </w:rPr>
        <w:t xml:space="preserve"> Test </w:t>
      </w:r>
      <w:r w:rsidR="00266EF3">
        <w:rPr>
          <w:rFonts w:ascii="Lato Light" w:hAnsi="Lato Light" w:cstheme="majorHAnsi"/>
        </w:rPr>
        <w:t>results in</w:t>
      </w:r>
      <w:r w:rsidRPr="00496C84">
        <w:rPr>
          <w:rFonts w:ascii="Lato Light" w:hAnsi="Lato Light" w:cstheme="majorHAnsi"/>
        </w:rPr>
        <w:t xml:space="preserve"> </w:t>
      </w:r>
      <w:r w:rsidR="00266EF3">
        <w:rPr>
          <w:rFonts w:ascii="Lato Light" w:hAnsi="Lato Light" w:cstheme="majorHAnsi"/>
        </w:rPr>
        <w:t>taxing the “excess reimbursements” the HCI obtains above what a non-HCI may obtain.  However, when coverage is paid for in part with employee after-tax contributions, a three-year lookback rule is applied to pro-rate this down.</w:t>
      </w:r>
    </w:p>
    <w:p w14:paraId="166C28DD" w14:textId="0FEEBB9F" w:rsidR="00266EF3" w:rsidRDefault="00266EF3" w:rsidP="00266EF3">
      <w:pPr>
        <w:pStyle w:val="ListParagraph"/>
        <w:numPr>
          <w:ilvl w:val="1"/>
          <w:numId w:val="22"/>
        </w:numPr>
        <w:spacing w:line="240" w:lineRule="auto"/>
        <w:rPr>
          <w:rFonts w:ascii="Lato Light" w:hAnsi="Lato Light" w:cstheme="majorHAnsi"/>
        </w:rPr>
      </w:pPr>
      <w:r>
        <w:rPr>
          <w:rFonts w:ascii="Lato Light" w:hAnsi="Lato Light" w:cstheme="majorHAnsi"/>
        </w:rPr>
        <w:t>If a benefit is only available to HCIs, then it is 100% taxable to any HCI receiving that benefit.  However, if the HCI was paying 10% of the cost of the coverage with after-tax dollars for each of the last three years, then only 90% of it is taxable rather than 100%.</w:t>
      </w:r>
    </w:p>
    <w:p w14:paraId="73B64653" w14:textId="3CE47E74" w:rsidR="00266EF3" w:rsidRDefault="00266EF3" w:rsidP="00D90BAF">
      <w:pPr>
        <w:pStyle w:val="ListParagraph"/>
        <w:numPr>
          <w:ilvl w:val="1"/>
          <w:numId w:val="22"/>
        </w:numPr>
        <w:spacing w:line="240" w:lineRule="auto"/>
        <w:rPr>
          <w:rFonts w:ascii="Lato Light" w:hAnsi="Lato Light" w:cstheme="majorHAnsi"/>
        </w:rPr>
      </w:pPr>
      <w:r w:rsidRPr="00266EF3">
        <w:rPr>
          <w:rFonts w:ascii="Lato Light" w:hAnsi="Lato Light" w:cstheme="majorHAnsi"/>
        </w:rPr>
        <w:t xml:space="preserve">If a benefit is available to HCIs more favorably than to non-HCIs, then the extra HCIs receive </w:t>
      </w:r>
      <w:r>
        <w:rPr>
          <w:rFonts w:ascii="Lato Light" w:hAnsi="Lato Light" w:cstheme="majorHAnsi"/>
        </w:rPr>
        <w:t>above what</w:t>
      </w:r>
      <w:r w:rsidRPr="00266EF3">
        <w:rPr>
          <w:rFonts w:ascii="Lato Light" w:hAnsi="Lato Light" w:cstheme="majorHAnsi"/>
        </w:rPr>
        <w:t xml:space="preserve"> non-HCIs can receive is taxable to the HCI.</w:t>
      </w:r>
      <w:r>
        <w:rPr>
          <w:rFonts w:ascii="Lato Light" w:hAnsi="Lato Light" w:cstheme="majorHAnsi"/>
        </w:rPr>
        <w:t xml:space="preserve">  Again, employee after-tax contributions can further pro-rate that down.</w:t>
      </w:r>
    </w:p>
    <w:p w14:paraId="6E91781F" w14:textId="77777777" w:rsidR="00D87C2D" w:rsidRPr="00266EF3" w:rsidRDefault="00D87C2D" w:rsidP="006826A3">
      <w:pPr>
        <w:pStyle w:val="ListParagraph"/>
        <w:spacing w:line="240" w:lineRule="auto"/>
        <w:ind w:left="1440"/>
        <w:rPr>
          <w:rFonts w:ascii="Lato Light" w:hAnsi="Lato Light" w:cstheme="majorHAnsi"/>
        </w:rPr>
      </w:pPr>
    </w:p>
    <w:p w14:paraId="48E2682B" w14:textId="1946A4F3" w:rsidR="001F423C" w:rsidRPr="00496C84" w:rsidRDefault="001F578D" w:rsidP="00496C84">
      <w:pPr>
        <w:pStyle w:val="ListParagraph"/>
        <w:numPr>
          <w:ilvl w:val="0"/>
          <w:numId w:val="22"/>
        </w:numPr>
        <w:spacing w:line="240" w:lineRule="auto"/>
        <w:rPr>
          <w:rFonts w:ascii="Lato Light" w:hAnsi="Lato Light" w:cstheme="majorHAnsi"/>
        </w:rPr>
      </w:pPr>
      <w:r w:rsidRPr="00496C84">
        <w:rPr>
          <w:rFonts w:ascii="Lato Light" w:hAnsi="Lato Light" w:cstheme="majorHAnsi"/>
        </w:rPr>
        <w:t xml:space="preserve">Failing NDT does not disqualify the </w:t>
      </w:r>
      <w:r w:rsidR="00D87C2D">
        <w:rPr>
          <w:rFonts w:ascii="Lato Light" w:hAnsi="Lato Light" w:cstheme="majorHAnsi"/>
        </w:rPr>
        <w:t>entire</w:t>
      </w:r>
      <w:r w:rsidR="00D87C2D" w:rsidRPr="00496C84">
        <w:rPr>
          <w:rFonts w:ascii="Lato Light" w:hAnsi="Lato Light" w:cstheme="majorHAnsi"/>
        </w:rPr>
        <w:t xml:space="preserve"> </w:t>
      </w:r>
      <w:r w:rsidR="00266EF3">
        <w:rPr>
          <w:rFonts w:ascii="Lato Light" w:hAnsi="Lato Light" w:cstheme="majorHAnsi"/>
        </w:rPr>
        <w:t>self-</w:t>
      </w:r>
      <w:r w:rsidR="001F62F4">
        <w:rPr>
          <w:rFonts w:ascii="Lato Light" w:hAnsi="Lato Light" w:cstheme="majorHAnsi"/>
        </w:rPr>
        <w:t>insured</w:t>
      </w:r>
      <w:r w:rsidRPr="00496C84">
        <w:rPr>
          <w:rFonts w:ascii="Lato Light" w:hAnsi="Lato Light" w:cstheme="majorHAnsi"/>
        </w:rPr>
        <w:t xml:space="preserve"> plan or have any impact on non-</w:t>
      </w:r>
      <w:r w:rsidR="00266EF3">
        <w:rPr>
          <w:rFonts w:ascii="Lato Light" w:hAnsi="Lato Light" w:cstheme="majorHAnsi"/>
        </w:rPr>
        <w:t>HCIs</w:t>
      </w:r>
      <w:r w:rsidRPr="00496C84">
        <w:rPr>
          <w:rFonts w:ascii="Lato Light" w:hAnsi="Lato Light" w:cstheme="majorHAnsi"/>
        </w:rPr>
        <w:t>.</w:t>
      </w:r>
    </w:p>
    <w:p w14:paraId="738D0C75" w14:textId="77777777" w:rsidR="001F423C" w:rsidRPr="00731213" w:rsidRDefault="001F423C" w:rsidP="00745EE1">
      <w:pPr>
        <w:spacing w:line="240" w:lineRule="auto"/>
        <w:rPr>
          <w:rFonts w:ascii="Lato Light" w:hAnsi="Lato Light" w:cstheme="majorHAnsi"/>
          <w:b/>
          <w:bCs/>
        </w:rPr>
      </w:pPr>
    </w:p>
    <w:p w14:paraId="4BD91335" w14:textId="6C9B22A5" w:rsidR="001F423C" w:rsidRPr="00731213" w:rsidRDefault="001F423C" w:rsidP="00745EE1">
      <w:pPr>
        <w:spacing w:line="240" w:lineRule="auto"/>
        <w:rPr>
          <w:rFonts w:ascii="Lato Light" w:hAnsi="Lato Light" w:cstheme="majorHAnsi"/>
          <w:b/>
          <w:bCs/>
        </w:rPr>
      </w:pPr>
      <w:r w:rsidRPr="00731213">
        <w:rPr>
          <w:rFonts w:ascii="Lato Light" w:hAnsi="Lato Light" w:cstheme="majorHAnsi"/>
          <w:b/>
          <w:bCs/>
        </w:rPr>
        <w:t>Practical Implications for Employers:</w:t>
      </w:r>
    </w:p>
    <w:p w14:paraId="00000010" w14:textId="77777777" w:rsidR="0001489F" w:rsidRPr="00731213" w:rsidRDefault="0001489F" w:rsidP="00745EE1">
      <w:pPr>
        <w:spacing w:line="240" w:lineRule="auto"/>
        <w:rPr>
          <w:rFonts w:ascii="Lato Light" w:hAnsi="Lato Light" w:cstheme="majorHAnsi"/>
        </w:rPr>
      </w:pPr>
    </w:p>
    <w:p w14:paraId="707C1A35" w14:textId="77777777" w:rsidR="008C4703" w:rsidRDefault="008C4703" w:rsidP="008C4703">
      <w:pPr>
        <w:spacing w:line="240" w:lineRule="auto"/>
        <w:rPr>
          <w:rFonts w:ascii="Lato Light" w:hAnsi="Lato Light" w:cstheme="majorHAnsi"/>
        </w:rPr>
      </w:pPr>
      <w:r>
        <w:rPr>
          <w:rFonts w:ascii="Lato Light" w:hAnsi="Lato Light" w:cstheme="majorHAnsi"/>
        </w:rPr>
        <w:t>NDT is supposed to be run at the end of each plan year to include all employees hired and terminated throughout the plan year, but employers often run a preliminary test so they can make proactive adjustments that hopefully prevent tax headaches later.</w:t>
      </w:r>
    </w:p>
    <w:p w14:paraId="64066075" w14:textId="77777777" w:rsidR="008C4703" w:rsidRDefault="008C4703" w:rsidP="008C4703">
      <w:pPr>
        <w:spacing w:line="240" w:lineRule="auto"/>
        <w:rPr>
          <w:rFonts w:ascii="Lato Light" w:hAnsi="Lato Light" w:cstheme="majorHAnsi"/>
        </w:rPr>
      </w:pPr>
    </w:p>
    <w:p w14:paraId="63AF566C" w14:textId="77777777" w:rsidR="008C4703" w:rsidRDefault="008C4703" w:rsidP="008C4703">
      <w:pPr>
        <w:spacing w:line="240" w:lineRule="auto"/>
        <w:rPr>
          <w:rFonts w:ascii="Lato Light" w:hAnsi="Lato Light" w:cstheme="majorHAnsi"/>
        </w:rPr>
      </w:pPr>
      <w:r>
        <w:rPr>
          <w:rFonts w:ascii="Lato Light" w:hAnsi="Lato Light" w:cstheme="majorHAnsi"/>
        </w:rPr>
        <w:t>If the employer is in a controlled group or other close arrangement with other related employers, NDT rules expect them to test as if they are one large employer.  Employee leasing entities may also be implicated.  These complicated situations make it worth outsourcing the testing to an NDT expert.</w:t>
      </w:r>
    </w:p>
    <w:p w14:paraId="27C976AB" w14:textId="77777777" w:rsidR="008C4703" w:rsidRDefault="008C4703" w:rsidP="001F578D">
      <w:pPr>
        <w:spacing w:line="240" w:lineRule="auto"/>
        <w:rPr>
          <w:rFonts w:ascii="Lato Light" w:hAnsi="Lato Light" w:cstheme="majorHAnsi"/>
        </w:rPr>
      </w:pPr>
    </w:p>
    <w:p w14:paraId="63E86585" w14:textId="77777777" w:rsidR="006826A3" w:rsidRDefault="006826A3" w:rsidP="001F578D">
      <w:pPr>
        <w:spacing w:line="240" w:lineRule="auto"/>
        <w:rPr>
          <w:rFonts w:ascii="Lato Light" w:hAnsi="Lato Light" w:cstheme="majorHAnsi"/>
        </w:rPr>
      </w:pPr>
    </w:p>
    <w:p w14:paraId="12E95752" w14:textId="0E2CB354" w:rsidR="00E75B4F" w:rsidRDefault="001F578D" w:rsidP="001F578D">
      <w:pPr>
        <w:spacing w:line="240" w:lineRule="auto"/>
        <w:rPr>
          <w:rFonts w:ascii="Lato Light" w:hAnsi="Lato Light" w:cstheme="majorHAnsi"/>
        </w:rPr>
      </w:pPr>
      <w:r>
        <w:rPr>
          <w:rFonts w:ascii="Lato Light" w:hAnsi="Lato Light" w:cstheme="majorHAnsi"/>
        </w:rPr>
        <w:t>Employers sponsoring a flexible</w:t>
      </w:r>
      <w:r w:rsidR="00266EF3">
        <w:rPr>
          <w:rFonts w:ascii="Lato Light" w:hAnsi="Lato Light" w:cstheme="majorHAnsi"/>
        </w:rPr>
        <w:t xml:space="preserve"> spending arrangement</w:t>
      </w:r>
      <w:r>
        <w:rPr>
          <w:rFonts w:ascii="Lato Light" w:hAnsi="Lato Light" w:cstheme="majorHAnsi"/>
        </w:rPr>
        <w:t xml:space="preserve"> </w:t>
      </w:r>
      <w:r w:rsidR="00266EF3">
        <w:rPr>
          <w:rFonts w:ascii="Lato Light" w:hAnsi="Lato Light" w:cstheme="majorHAnsi"/>
        </w:rPr>
        <w:t>(</w:t>
      </w:r>
      <w:r>
        <w:rPr>
          <w:rFonts w:ascii="Lato Light" w:hAnsi="Lato Light" w:cstheme="majorHAnsi"/>
        </w:rPr>
        <w:t>FSA</w:t>
      </w:r>
      <w:r w:rsidR="00266EF3">
        <w:rPr>
          <w:rFonts w:ascii="Lato Light" w:hAnsi="Lato Light" w:cstheme="majorHAnsi"/>
        </w:rPr>
        <w:t>)</w:t>
      </w:r>
      <w:r>
        <w:rPr>
          <w:rFonts w:ascii="Lato Light" w:hAnsi="Lato Light" w:cstheme="majorHAnsi"/>
        </w:rPr>
        <w:t xml:space="preserve"> and/or health reimbursement arrangement (HRA) typically hire a third-party administrator (TPA) to administer those plans on their behalf.  These TPAs can be an ideal partner </w:t>
      </w:r>
      <w:r w:rsidR="008C4703">
        <w:rPr>
          <w:rFonts w:ascii="Lato Light" w:hAnsi="Lato Light" w:cstheme="majorHAnsi"/>
        </w:rPr>
        <w:t>to hire for</w:t>
      </w:r>
      <w:r>
        <w:rPr>
          <w:rFonts w:ascii="Lato Light" w:hAnsi="Lato Light" w:cstheme="majorHAnsi"/>
        </w:rPr>
        <w:t xml:space="preserve"> NDT (including preliminary tests if you want to proactively ensure your plan looks like it will pass).</w:t>
      </w:r>
    </w:p>
    <w:p w14:paraId="1D3ADBB9" w14:textId="77777777" w:rsidR="001F578D" w:rsidRDefault="001F578D" w:rsidP="001F578D">
      <w:pPr>
        <w:spacing w:line="240" w:lineRule="auto"/>
        <w:rPr>
          <w:rFonts w:ascii="Lato Light" w:hAnsi="Lato Light" w:cstheme="majorHAnsi"/>
        </w:rPr>
      </w:pPr>
    </w:p>
    <w:p w14:paraId="240953B4" w14:textId="77777777" w:rsidR="00CE01F6" w:rsidRDefault="00CE01F6" w:rsidP="001F578D">
      <w:pPr>
        <w:spacing w:line="240" w:lineRule="auto"/>
        <w:rPr>
          <w:rFonts w:ascii="Lato Light" w:hAnsi="Lato Light" w:cstheme="majorHAnsi"/>
        </w:rPr>
      </w:pPr>
      <w:r>
        <w:rPr>
          <w:rFonts w:ascii="Lato Light" w:hAnsi="Lato Light" w:cstheme="majorHAnsi"/>
        </w:rPr>
        <w:t>Issues can sometimes arise when:</w:t>
      </w:r>
    </w:p>
    <w:p w14:paraId="22A0E856" w14:textId="23D6D3E6" w:rsidR="00CE01F6" w:rsidRDefault="00266EF3" w:rsidP="00CE01F6">
      <w:pPr>
        <w:pStyle w:val="ListParagraph"/>
        <w:numPr>
          <w:ilvl w:val="0"/>
          <w:numId w:val="23"/>
        </w:numPr>
        <w:spacing w:line="240" w:lineRule="auto"/>
        <w:rPr>
          <w:rFonts w:ascii="Lato Light" w:hAnsi="Lato Light" w:cstheme="majorHAnsi"/>
        </w:rPr>
      </w:pPr>
      <w:r>
        <w:rPr>
          <w:rFonts w:ascii="Lato Light" w:hAnsi="Lato Light" w:cstheme="majorHAnsi"/>
        </w:rPr>
        <w:t>Sponsoring different self-</w:t>
      </w:r>
      <w:r w:rsidR="001F62F4">
        <w:rPr>
          <w:rFonts w:ascii="Lato Light" w:hAnsi="Lato Light" w:cstheme="majorHAnsi"/>
        </w:rPr>
        <w:t>insured</w:t>
      </w:r>
      <w:r>
        <w:rPr>
          <w:rFonts w:ascii="Lato Light" w:hAnsi="Lato Light" w:cstheme="majorHAnsi"/>
        </w:rPr>
        <w:t xml:space="preserve"> health plans for different groups, such as salaried vs. hourly or in different geographic states</w:t>
      </w:r>
      <w:r w:rsidR="00962A85">
        <w:rPr>
          <w:rFonts w:ascii="Lato Light" w:hAnsi="Lato Light" w:cstheme="majorHAnsi"/>
        </w:rPr>
        <w:t>,</w:t>
      </w:r>
    </w:p>
    <w:p w14:paraId="2AAC0B79" w14:textId="07918B53" w:rsidR="00CE01F6" w:rsidRDefault="00087651" w:rsidP="00CE01F6">
      <w:pPr>
        <w:pStyle w:val="ListParagraph"/>
        <w:numPr>
          <w:ilvl w:val="0"/>
          <w:numId w:val="23"/>
        </w:numPr>
        <w:spacing w:line="240" w:lineRule="auto"/>
        <w:rPr>
          <w:rFonts w:ascii="Lato Light" w:hAnsi="Lato Light" w:cstheme="majorHAnsi"/>
        </w:rPr>
      </w:pPr>
      <w:r w:rsidRPr="00CE01F6">
        <w:rPr>
          <w:rFonts w:ascii="Lato Light" w:hAnsi="Lato Light" w:cstheme="majorHAnsi"/>
        </w:rPr>
        <w:t>Charging some employees more than others</w:t>
      </w:r>
      <w:r w:rsidR="00962A85">
        <w:rPr>
          <w:rFonts w:ascii="Lato Light" w:hAnsi="Lato Light" w:cstheme="majorHAnsi"/>
        </w:rPr>
        <w:t>,</w:t>
      </w:r>
    </w:p>
    <w:p w14:paraId="2117E45C" w14:textId="353E7D06" w:rsidR="00266EF3" w:rsidRDefault="00266EF3" w:rsidP="00CE01F6">
      <w:pPr>
        <w:pStyle w:val="ListParagraph"/>
        <w:numPr>
          <w:ilvl w:val="0"/>
          <w:numId w:val="23"/>
        </w:numPr>
        <w:spacing w:line="240" w:lineRule="auto"/>
        <w:rPr>
          <w:rFonts w:ascii="Lato Light" w:hAnsi="Lato Light" w:cstheme="majorHAnsi"/>
        </w:rPr>
      </w:pPr>
      <w:r>
        <w:rPr>
          <w:rFonts w:ascii="Lato Light" w:hAnsi="Lato Light" w:cstheme="majorHAnsi"/>
        </w:rPr>
        <w:t>Basing employer contributions or benefits on age, years of service, or compensation</w:t>
      </w:r>
      <w:r w:rsidR="00962A85">
        <w:rPr>
          <w:rFonts w:ascii="Lato Light" w:hAnsi="Lato Light" w:cstheme="majorHAnsi"/>
        </w:rPr>
        <w:t>,</w:t>
      </w:r>
    </w:p>
    <w:p w14:paraId="0A4BFC77" w14:textId="25DFF043" w:rsidR="00C53778" w:rsidRDefault="00266EF3" w:rsidP="00CE01F6">
      <w:pPr>
        <w:pStyle w:val="ListParagraph"/>
        <w:numPr>
          <w:ilvl w:val="0"/>
          <w:numId w:val="23"/>
        </w:numPr>
        <w:spacing w:line="240" w:lineRule="auto"/>
        <w:rPr>
          <w:rFonts w:ascii="Lato Light" w:hAnsi="Lato Light" w:cstheme="majorHAnsi"/>
        </w:rPr>
      </w:pPr>
      <w:r>
        <w:rPr>
          <w:rFonts w:ascii="Lato Light" w:hAnsi="Lato Light" w:cstheme="majorHAnsi"/>
        </w:rPr>
        <w:t>M</w:t>
      </w:r>
      <w:r w:rsidR="00C53778">
        <w:rPr>
          <w:rFonts w:ascii="Lato Light" w:hAnsi="Lato Light" w:cstheme="majorHAnsi"/>
        </w:rPr>
        <w:t>ember</w:t>
      </w:r>
      <w:r>
        <w:rPr>
          <w:rFonts w:ascii="Lato Light" w:hAnsi="Lato Light" w:cstheme="majorHAnsi"/>
        </w:rPr>
        <w:t>s</w:t>
      </w:r>
      <w:r w:rsidR="00C53778">
        <w:rPr>
          <w:rFonts w:ascii="Lato Light" w:hAnsi="Lato Light" w:cstheme="majorHAnsi"/>
        </w:rPr>
        <w:t xml:space="preserve"> of</w:t>
      </w:r>
      <w:r w:rsidR="00C53778" w:rsidRPr="00841C56">
        <w:rPr>
          <w:rFonts w:ascii="Lato Light" w:hAnsi="Lato Light" w:cstheme="majorHAnsi"/>
        </w:rPr>
        <w:t xml:space="preserve"> a related group of corporations or businesses</w:t>
      </w:r>
      <w:r w:rsidR="00C53778">
        <w:rPr>
          <w:rFonts w:ascii="Lato Light" w:hAnsi="Lato Light" w:cstheme="majorHAnsi"/>
        </w:rPr>
        <w:t xml:space="preserve"> </w:t>
      </w:r>
      <w:r>
        <w:rPr>
          <w:rFonts w:ascii="Lato Light" w:hAnsi="Lato Light" w:cstheme="majorHAnsi"/>
        </w:rPr>
        <w:t>have different self-</w:t>
      </w:r>
      <w:r w:rsidR="001F62F4">
        <w:rPr>
          <w:rFonts w:ascii="Lato Light" w:hAnsi="Lato Light" w:cstheme="majorHAnsi"/>
        </w:rPr>
        <w:t>insured</w:t>
      </w:r>
      <w:r>
        <w:rPr>
          <w:rFonts w:ascii="Lato Light" w:hAnsi="Lato Light" w:cstheme="majorHAnsi"/>
        </w:rPr>
        <w:t xml:space="preserve"> health plan benefits, </w:t>
      </w:r>
      <w:r w:rsidR="00962A85">
        <w:rPr>
          <w:rFonts w:ascii="Lato Light" w:hAnsi="Lato Light" w:cstheme="majorHAnsi"/>
        </w:rPr>
        <w:t xml:space="preserve">premium </w:t>
      </w:r>
      <w:r>
        <w:rPr>
          <w:rFonts w:ascii="Lato Light" w:hAnsi="Lato Light" w:cstheme="majorHAnsi"/>
        </w:rPr>
        <w:t>contributions, waiting periods, etc.</w:t>
      </w:r>
    </w:p>
    <w:p w14:paraId="2DE5DAD5" w14:textId="77777777" w:rsidR="00466B2B" w:rsidRDefault="00466B2B" w:rsidP="001F578D">
      <w:pPr>
        <w:spacing w:line="240" w:lineRule="auto"/>
        <w:rPr>
          <w:rFonts w:ascii="Lato Light" w:hAnsi="Lato Light" w:cstheme="majorHAnsi"/>
        </w:rPr>
      </w:pPr>
    </w:p>
    <w:p w14:paraId="7CD3A11F" w14:textId="6DC14456" w:rsidR="00466B2B" w:rsidRPr="00731213" w:rsidRDefault="00466B2B" w:rsidP="001F578D">
      <w:pPr>
        <w:spacing w:line="240" w:lineRule="auto"/>
        <w:rPr>
          <w:rFonts w:ascii="Lato Light" w:hAnsi="Lato Light" w:cstheme="majorHAnsi"/>
        </w:rPr>
      </w:pPr>
      <w:r>
        <w:rPr>
          <w:rFonts w:ascii="Lato Light" w:hAnsi="Lato Light" w:cstheme="majorHAnsi"/>
        </w:rPr>
        <w:t>Testing results are kept on file and do not have to be reported, but they must be provided to the IRS upon request and might be requested as part of a merger/acquisition due diligence review.</w:t>
      </w:r>
    </w:p>
    <w:sectPr w:rsidR="00466B2B" w:rsidRPr="00731213" w:rsidSect="006826A3">
      <w:headerReference w:type="default" r:id="rId7"/>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2D6B3" w14:textId="77777777" w:rsidR="007024E2" w:rsidRDefault="007024E2" w:rsidP="005A4439">
      <w:pPr>
        <w:spacing w:line="240" w:lineRule="auto"/>
      </w:pPr>
      <w:r>
        <w:separator/>
      </w:r>
    </w:p>
  </w:endnote>
  <w:endnote w:type="continuationSeparator" w:id="0">
    <w:p w14:paraId="5474B24C" w14:textId="77777777" w:rsidR="007024E2" w:rsidRDefault="007024E2" w:rsidP="005A4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2A275" w14:textId="77777777" w:rsidR="007024E2" w:rsidRDefault="007024E2" w:rsidP="005A4439">
      <w:pPr>
        <w:spacing w:line="240" w:lineRule="auto"/>
      </w:pPr>
      <w:r>
        <w:separator/>
      </w:r>
    </w:p>
  </w:footnote>
  <w:footnote w:type="continuationSeparator" w:id="0">
    <w:p w14:paraId="0EC8851C" w14:textId="77777777" w:rsidR="007024E2" w:rsidRDefault="007024E2" w:rsidP="005A4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0660" w14:textId="6F62FF50" w:rsidR="005A4439" w:rsidRPr="001F423C" w:rsidRDefault="005B04D9" w:rsidP="00731213">
    <w:pPr>
      <w:rPr>
        <w:rFonts w:ascii="Calibri" w:hAnsi="Calibri" w:cs="Calibri"/>
        <w:b/>
        <w:sz w:val="28"/>
        <w:szCs w:val="28"/>
      </w:rPr>
    </w:pPr>
    <w:r>
      <w:rPr>
        <w:noProof/>
      </w:rPr>
      <w:drawing>
        <wp:inline distT="0" distB="0" distL="0" distR="0" wp14:anchorId="65D015A1" wp14:editId="7A01505B">
          <wp:extent cx="1406264" cy="571500"/>
          <wp:effectExtent l="0" t="0" r="3810" b="0"/>
          <wp:docPr id="873937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37297"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19400" cy="576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632"/>
    <w:multiLevelType w:val="hybridMultilevel"/>
    <w:tmpl w:val="107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37A7"/>
    <w:multiLevelType w:val="hybridMultilevel"/>
    <w:tmpl w:val="C56A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7572"/>
    <w:multiLevelType w:val="hybridMultilevel"/>
    <w:tmpl w:val="59183EE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92A10"/>
    <w:multiLevelType w:val="hybridMultilevel"/>
    <w:tmpl w:val="09402366"/>
    <w:lvl w:ilvl="0" w:tplc="9790D982">
      <w:start w:val="1"/>
      <w:numFmt w:val="decimal"/>
      <w:lvlText w:val="(%1)"/>
      <w:lvlJc w:val="left"/>
      <w:pPr>
        <w:ind w:left="720" w:hanging="360"/>
      </w:pPr>
      <w:rPr>
        <w:rFonts w:hint="default"/>
      </w:rPr>
    </w:lvl>
    <w:lvl w:ilvl="1" w:tplc="D6C046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271F1"/>
    <w:multiLevelType w:val="hybridMultilevel"/>
    <w:tmpl w:val="04720652"/>
    <w:lvl w:ilvl="0" w:tplc="04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1CE81E60"/>
    <w:multiLevelType w:val="hybridMultilevel"/>
    <w:tmpl w:val="E284838C"/>
    <w:lvl w:ilvl="0" w:tplc="D6C04612">
      <w:start w:val="1"/>
      <w:numFmt w:val="lowerLetter"/>
      <w:lvlText w:val="(%1)"/>
      <w:lvlJc w:val="left"/>
      <w:pPr>
        <w:ind w:left="720" w:hanging="360"/>
      </w:pPr>
      <w:rPr>
        <w:rFonts w:hint="default"/>
      </w:rPr>
    </w:lvl>
    <w:lvl w:ilvl="1" w:tplc="F4F05B2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D142D"/>
    <w:multiLevelType w:val="hybridMultilevel"/>
    <w:tmpl w:val="70E8CCC4"/>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D392D"/>
    <w:multiLevelType w:val="hybridMultilevel"/>
    <w:tmpl w:val="8580E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31790"/>
    <w:multiLevelType w:val="hybridMultilevel"/>
    <w:tmpl w:val="375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B4E19"/>
    <w:multiLevelType w:val="multilevel"/>
    <w:tmpl w:val="D97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AB7431"/>
    <w:multiLevelType w:val="hybridMultilevel"/>
    <w:tmpl w:val="BA0CE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401A0"/>
    <w:multiLevelType w:val="hybridMultilevel"/>
    <w:tmpl w:val="2CF64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C4019"/>
    <w:multiLevelType w:val="hybridMultilevel"/>
    <w:tmpl w:val="DA884B9E"/>
    <w:lvl w:ilvl="0" w:tplc="F962B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B19A9"/>
    <w:multiLevelType w:val="hybridMultilevel"/>
    <w:tmpl w:val="2BE4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C6E6F"/>
    <w:multiLevelType w:val="hybridMultilevel"/>
    <w:tmpl w:val="E43C8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A5F6E"/>
    <w:multiLevelType w:val="hybridMultilevel"/>
    <w:tmpl w:val="9A648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03029"/>
    <w:multiLevelType w:val="hybridMultilevel"/>
    <w:tmpl w:val="7FE2A2B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E3709"/>
    <w:multiLevelType w:val="hybridMultilevel"/>
    <w:tmpl w:val="C56A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125F1D"/>
    <w:multiLevelType w:val="hybridMultilevel"/>
    <w:tmpl w:val="595A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E5D0B"/>
    <w:multiLevelType w:val="multilevel"/>
    <w:tmpl w:val="2794C0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1F2987"/>
    <w:multiLevelType w:val="hybridMultilevel"/>
    <w:tmpl w:val="EDCC4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A0D49"/>
    <w:multiLevelType w:val="multilevel"/>
    <w:tmpl w:val="C616C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BFF44A0"/>
    <w:multiLevelType w:val="hybridMultilevel"/>
    <w:tmpl w:val="E5E4F96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C33767E"/>
    <w:multiLevelType w:val="hybridMultilevel"/>
    <w:tmpl w:val="25688816"/>
    <w:lvl w:ilvl="0" w:tplc="0DB8AA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580984">
    <w:abstractNumId w:val="9"/>
  </w:num>
  <w:num w:numId="2" w16cid:durableId="1440952817">
    <w:abstractNumId w:val="19"/>
  </w:num>
  <w:num w:numId="3" w16cid:durableId="952438708">
    <w:abstractNumId w:val="21"/>
  </w:num>
  <w:num w:numId="4" w16cid:durableId="191656106">
    <w:abstractNumId w:val="0"/>
  </w:num>
  <w:num w:numId="5" w16cid:durableId="1681813447">
    <w:abstractNumId w:val="23"/>
  </w:num>
  <w:num w:numId="6" w16cid:durableId="1637567862">
    <w:abstractNumId w:val="1"/>
  </w:num>
  <w:num w:numId="7" w16cid:durableId="515462194">
    <w:abstractNumId w:val="17"/>
  </w:num>
  <w:num w:numId="8" w16cid:durableId="244992502">
    <w:abstractNumId w:val="8"/>
  </w:num>
  <w:num w:numId="9" w16cid:durableId="743258463">
    <w:abstractNumId w:val="13"/>
  </w:num>
  <w:num w:numId="10" w16cid:durableId="672486813">
    <w:abstractNumId w:val="6"/>
  </w:num>
  <w:num w:numId="11" w16cid:durableId="1830170566">
    <w:abstractNumId w:val="22"/>
  </w:num>
  <w:num w:numId="12" w16cid:durableId="1013611589">
    <w:abstractNumId w:val="10"/>
  </w:num>
  <w:num w:numId="13" w16cid:durableId="500203193">
    <w:abstractNumId w:val="15"/>
  </w:num>
  <w:num w:numId="14" w16cid:durableId="848104340">
    <w:abstractNumId w:val="3"/>
  </w:num>
  <w:num w:numId="15" w16cid:durableId="842628246">
    <w:abstractNumId w:val="18"/>
  </w:num>
  <w:num w:numId="16" w16cid:durableId="76024238">
    <w:abstractNumId w:val="12"/>
  </w:num>
  <w:num w:numId="17" w16cid:durableId="1351108640">
    <w:abstractNumId w:val="14"/>
  </w:num>
  <w:num w:numId="18" w16cid:durableId="788739419">
    <w:abstractNumId w:val="5"/>
  </w:num>
  <w:num w:numId="19" w16cid:durableId="2018265067">
    <w:abstractNumId w:val="11"/>
  </w:num>
  <w:num w:numId="20" w16cid:durableId="1061172197">
    <w:abstractNumId w:val="7"/>
  </w:num>
  <w:num w:numId="21" w16cid:durableId="120654331">
    <w:abstractNumId w:val="4"/>
  </w:num>
  <w:num w:numId="22" w16cid:durableId="1376468543">
    <w:abstractNumId w:val="16"/>
  </w:num>
  <w:num w:numId="23" w16cid:durableId="1811366264">
    <w:abstractNumId w:val="20"/>
  </w:num>
  <w:num w:numId="24" w16cid:durableId="1036543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9F"/>
    <w:rsid w:val="00001750"/>
    <w:rsid w:val="00005C05"/>
    <w:rsid w:val="0001489F"/>
    <w:rsid w:val="00023F06"/>
    <w:rsid w:val="00026685"/>
    <w:rsid w:val="0006035E"/>
    <w:rsid w:val="00086ECE"/>
    <w:rsid w:val="00087651"/>
    <w:rsid w:val="000D1444"/>
    <w:rsid w:val="000D6740"/>
    <w:rsid w:val="000F24A8"/>
    <w:rsid w:val="000F5D8F"/>
    <w:rsid w:val="001017A6"/>
    <w:rsid w:val="00112CDF"/>
    <w:rsid w:val="001336CF"/>
    <w:rsid w:val="00142B5A"/>
    <w:rsid w:val="00180337"/>
    <w:rsid w:val="001F423C"/>
    <w:rsid w:val="001F578D"/>
    <w:rsid w:val="001F62F4"/>
    <w:rsid w:val="00246B3C"/>
    <w:rsid w:val="00260A87"/>
    <w:rsid w:val="00266EF3"/>
    <w:rsid w:val="00274E1C"/>
    <w:rsid w:val="00277CC6"/>
    <w:rsid w:val="002A7BDF"/>
    <w:rsid w:val="002D2715"/>
    <w:rsid w:val="002D7FD2"/>
    <w:rsid w:val="003150D3"/>
    <w:rsid w:val="003462AB"/>
    <w:rsid w:val="00414590"/>
    <w:rsid w:val="0043184F"/>
    <w:rsid w:val="00433C3C"/>
    <w:rsid w:val="0044773F"/>
    <w:rsid w:val="00464D8D"/>
    <w:rsid w:val="00466B2B"/>
    <w:rsid w:val="00482367"/>
    <w:rsid w:val="00496C84"/>
    <w:rsid w:val="004D2457"/>
    <w:rsid w:val="004D6B36"/>
    <w:rsid w:val="004E51A8"/>
    <w:rsid w:val="004F3519"/>
    <w:rsid w:val="00522F53"/>
    <w:rsid w:val="00545D6E"/>
    <w:rsid w:val="00551BF9"/>
    <w:rsid w:val="0059711B"/>
    <w:rsid w:val="005A419B"/>
    <w:rsid w:val="005A4439"/>
    <w:rsid w:val="005B04D9"/>
    <w:rsid w:val="005D35A5"/>
    <w:rsid w:val="005E1FBA"/>
    <w:rsid w:val="00603B6D"/>
    <w:rsid w:val="00614252"/>
    <w:rsid w:val="00614A68"/>
    <w:rsid w:val="0062294B"/>
    <w:rsid w:val="006826A3"/>
    <w:rsid w:val="006A01A2"/>
    <w:rsid w:val="00700B66"/>
    <w:rsid w:val="007024E2"/>
    <w:rsid w:val="007048CF"/>
    <w:rsid w:val="00715E9E"/>
    <w:rsid w:val="0072338D"/>
    <w:rsid w:val="00726337"/>
    <w:rsid w:val="007268CF"/>
    <w:rsid w:val="00731213"/>
    <w:rsid w:val="00736C5E"/>
    <w:rsid w:val="00745EE1"/>
    <w:rsid w:val="007B4457"/>
    <w:rsid w:val="007D0439"/>
    <w:rsid w:val="007F6C30"/>
    <w:rsid w:val="00827324"/>
    <w:rsid w:val="00841C56"/>
    <w:rsid w:val="0087419F"/>
    <w:rsid w:val="0088031D"/>
    <w:rsid w:val="008A0B1B"/>
    <w:rsid w:val="008A2B78"/>
    <w:rsid w:val="008C4703"/>
    <w:rsid w:val="008D3D4B"/>
    <w:rsid w:val="009174A3"/>
    <w:rsid w:val="00927E7F"/>
    <w:rsid w:val="00962A85"/>
    <w:rsid w:val="00983539"/>
    <w:rsid w:val="009A39FF"/>
    <w:rsid w:val="009B003E"/>
    <w:rsid w:val="00A33E71"/>
    <w:rsid w:val="00A54A51"/>
    <w:rsid w:val="00AB294E"/>
    <w:rsid w:val="00B36B14"/>
    <w:rsid w:val="00B5199E"/>
    <w:rsid w:val="00B65289"/>
    <w:rsid w:val="00BA73C2"/>
    <w:rsid w:val="00BC31B0"/>
    <w:rsid w:val="00BC5C55"/>
    <w:rsid w:val="00BF5B62"/>
    <w:rsid w:val="00C27D18"/>
    <w:rsid w:val="00C379BE"/>
    <w:rsid w:val="00C53778"/>
    <w:rsid w:val="00C63D35"/>
    <w:rsid w:val="00CB43AE"/>
    <w:rsid w:val="00CD3682"/>
    <w:rsid w:val="00CD797C"/>
    <w:rsid w:val="00CE01F6"/>
    <w:rsid w:val="00CE1943"/>
    <w:rsid w:val="00D35A6F"/>
    <w:rsid w:val="00D473AE"/>
    <w:rsid w:val="00D5038C"/>
    <w:rsid w:val="00D71BFA"/>
    <w:rsid w:val="00D87C2D"/>
    <w:rsid w:val="00DE091A"/>
    <w:rsid w:val="00E26AD8"/>
    <w:rsid w:val="00E330A9"/>
    <w:rsid w:val="00E35156"/>
    <w:rsid w:val="00E54E89"/>
    <w:rsid w:val="00E75B4F"/>
    <w:rsid w:val="00E76CAA"/>
    <w:rsid w:val="00ED085E"/>
    <w:rsid w:val="00EE5251"/>
    <w:rsid w:val="00F2575F"/>
    <w:rsid w:val="00F40B31"/>
    <w:rsid w:val="00FB18D3"/>
    <w:rsid w:val="00FB2432"/>
    <w:rsid w:val="00FE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C60"/>
  <w15:docId w15:val="{B8FC7F4D-FD94-42E5-9E14-EE205232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4439"/>
    <w:pPr>
      <w:tabs>
        <w:tab w:val="center" w:pos="4680"/>
        <w:tab w:val="right" w:pos="9360"/>
      </w:tabs>
      <w:spacing w:line="240" w:lineRule="auto"/>
    </w:pPr>
  </w:style>
  <w:style w:type="character" w:customStyle="1" w:styleId="HeaderChar">
    <w:name w:val="Header Char"/>
    <w:basedOn w:val="DefaultParagraphFont"/>
    <w:link w:val="Header"/>
    <w:uiPriority w:val="99"/>
    <w:rsid w:val="005A4439"/>
  </w:style>
  <w:style w:type="paragraph" w:styleId="Footer">
    <w:name w:val="footer"/>
    <w:basedOn w:val="Normal"/>
    <w:link w:val="FooterChar"/>
    <w:uiPriority w:val="99"/>
    <w:unhideWhenUsed/>
    <w:rsid w:val="005A4439"/>
    <w:pPr>
      <w:tabs>
        <w:tab w:val="center" w:pos="4680"/>
        <w:tab w:val="right" w:pos="9360"/>
      </w:tabs>
      <w:spacing w:line="240" w:lineRule="auto"/>
    </w:pPr>
  </w:style>
  <w:style w:type="character" w:customStyle="1" w:styleId="FooterChar">
    <w:name w:val="Footer Char"/>
    <w:basedOn w:val="DefaultParagraphFont"/>
    <w:link w:val="Footer"/>
    <w:uiPriority w:val="99"/>
    <w:rsid w:val="005A4439"/>
  </w:style>
  <w:style w:type="paragraph" w:styleId="ListParagraph">
    <w:name w:val="List Paragraph"/>
    <w:basedOn w:val="Normal"/>
    <w:uiPriority w:val="34"/>
    <w:qFormat/>
    <w:rsid w:val="00E75B4F"/>
    <w:pPr>
      <w:ind w:left="720"/>
      <w:contextualSpacing/>
    </w:pPr>
  </w:style>
  <w:style w:type="character" w:styleId="Hyperlink">
    <w:name w:val="Hyperlink"/>
    <w:basedOn w:val="DefaultParagraphFont"/>
    <w:uiPriority w:val="99"/>
    <w:unhideWhenUsed/>
    <w:rsid w:val="001F423C"/>
    <w:rPr>
      <w:color w:val="0000FF" w:themeColor="hyperlink"/>
      <w:u w:val="single"/>
    </w:rPr>
  </w:style>
  <w:style w:type="character" w:styleId="UnresolvedMention">
    <w:name w:val="Unresolved Mention"/>
    <w:basedOn w:val="DefaultParagraphFont"/>
    <w:uiPriority w:val="99"/>
    <w:semiHidden/>
    <w:unhideWhenUsed/>
    <w:rsid w:val="001F423C"/>
    <w:rPr>
      <w:color w:val="605E5C"/>
      <w:shd w:val="clear" w:color="auto" w:fill="E1DFDD"/>
    </w:rPr>
  </w:style>
  <w:style w:type="paragraph" w:styleId="Revision">
    <w:name w:val="Revision"/>
    <w:hidden/>
    <w:uiPriority w:val="99"/>
    <w:semiHidden/>
    <w:rsid w:val="00C63D35"/>
    <w:pPr>
      <w:spacing w:line="240" w:lineRule="auto"/>
    </w:pPr>
  </w:style>
  <w:style w:type="table" w:styleId="TableGrid">
    <w:name w:val="Table Grid"/>
    <w:basedOn w:val="TableNormal"/>
    <w:uiPriority w:val="39"/>
    <w:rsid w:val="008C47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6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 Rippstein</dc:creator>
  <cp:lastModifiedBy>Holly Soule</cp:lastModifiedBy>
  <cp:revision>5</cp:revision>
  <dcterms:created xsi:type="dcterms:W3CDTF">2024-12-02T14:18:00Z</dcterms:created>
  <dcterms:modified xsi:type="dcterms:W3CDTF">2024-12-03T21:23:00Z</dcterms:modified>
</cp:coreProperties>
</file>