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AE56B" w14:textId="77777777" w:rsidR="009F51CE" w:rsidRDefault="009F51CE" w:rsidP="009F51CE">
      <w:pPr>
        <w:pStyle w:val="Title"/>
        <w:spacing w:after="0" w:line="240" w:lineRule="auto"/>
        <w:jc w:val="center"/>
        <w:rPr>
          <w:rFonts w:ascii="Lato Light" w:hAnsi="Lato Light" w:cs="Calibri"/>
          <w:b/>
          <w:bCs/>
          <w:sz w:val="22"/>
          <w:szCs w:val="22"/>
        </w:rPr>
      </w:pPr>
    </w:p>
    <w:p w14:paraId="5BC8EAAD" w14:textId="172B11E9" w:rsidR="00B5199E" w:rsidRPr="009F51CE" w:rsidRDefault="00B5199E" w:rsidP="009F51CE">
      <w:pPr>
        <w:pStyle w:val="Title"/>
        <w:spacing w:after="0" w:line="240" w:lineRule="auto"/>
        <w:jc w:val="center"/>
        <w:rPr>
          <w:rFonts w:ascii="Lato Light" w:hAnsi="Lato Light" w:cs="Calibri"/>
          <w:b/>
          <w:bCs/>
          <w:sz w:val="22"/>
          <w:szCs w:val="22"/>
        </w:rPr>
      </w:pPr>
      <w:r w:rsidRPr="009F51CE">
        <w:rPr>
          <w:rFonts w:ascii="Lato Light" w:hAnsi="Lato Light" w:cs="Calibri"/>
          <w:b/>
          <w:bCs/>
          <w:sz w:val="22"/>
          <w:szCs w:val="22"/>
        </w:rPr>
        <w:t>NON-DISCRIMINATION TESTING</w:t>
      </w:r>
      <w:r w:rsidR="009F51CE">
        <w:rPr>
          <w:rFonts w:ascii="Lato Light" w:hAnsi="Lato Light" w:cs="Calibri"/>
          <w:b/>
          <w:bCs/>
          <w:sz w:val="22"/>
          <w:szCs w:val="22"/>
        </w:rPr>
        <w:t xml:space="preserve"> - </w:t>
      </w:r>
      <w:r w:rsidRPr="009F51CE">
        <w:rPr>
          <w:rFonts w:ascii="Lato Light" w:hAnsi="Lato Light"/>
          <w:b/>
          <w:bCs/>
          <w:sz w:val="22"/>
          <w:szCs w:val="22"/>
        </w:rPr>
        <w:t xml:space="preserve">SECTION </w:t>
      </w:r>
      <w:r w:rsidR="00C64701" w:rsidRPr="009F51CE">
        <w:rPr>
          <w:rFonts w:ascii="Lato Light" w:hAnsi="Lato Light"/>
          <w:b/>
          <w:bCs/>
          <w:sz w:val="22"/>
          <w:szCs w:val="22"/>
        </w:rPr>
        <w:t>129</w:t>
      </w:r>
      <w:r w:rsidR="009F51CE">
        <w:rPr>
          <w:rFonts w:ascii="Lato Light" w:hAnsi="Lato Light"/>
          <w:b/>
          <w:bCs/>
          <w:sz w:val="22"/>
          <w:szCs w:val="22"/>
        </w:rPr>
        <w:t xml:space="preserve"> (</w:t>
      </w:r>
      <w:r w:rsidR="00C64701" w:rsidRPr="009F51CE">
        <w:rPr>
          <w:rFonts w:ascii="Lato Light" w:hAnsi="Lato Light"/>
          <w:b/>
          <w:bCs/>
          <w:sz w:val="22"/>
          <w:szCs w:val="22"/>
        </w:rPr>
        <w:t>DEPENDENT DAYCARE FSA</w:t>
      </w:r>
      <w:r w:rsidR="009F51CE">
        <w:rPr>
          <w:rFonts w:ascii="Lato Light" w:hAnsi="Lato Light"/>
          <w:b/>
          <w:bCs/>
          <w:sz w:val="22"/>
          <w:szCs w:val="22"/>
        </w:rPr>
        <w:t>)</w:t>
      </w:r>
    </w:p>
    <w:p w14:paraId="2B7E2450" w14:textId="77777777" w:rsidR="001F423C" w:rsidRPr="009F51CE" w:rsidRDefault="001F423C" w:rsidP="00745EE1">
      <w:pPr>
        <w:pStyle w:val="Title"/>
        <w:spacing w:after="0" w:line="240" w:lineRule="auto"/>
        <w:rPr>
          <w:rFonts w:ascii="Lato Light" w:hAnsi="Lato Light" w:cs="Calibri"/>
          <w:b/>
          <w:bCs/>
          <w:sz w:val="22"/>
          <w:szCs w:val="22"/>
        </w:rPr>
      </w:pPr>
    </w:p>
    <w:p w14:paraId="6F99D1E9" w14:textId="23F8E04E" w:rsidR="00466B2B" w:rsidRPr="00466B2B" w:rsidRDefault="00466B2B" w:rsidP="00745EE1">
      <w:pPr>
        <w:spacing w:line="240" w:lineRule="auto"/>
        <w:rPr>
          <w:rFonts w:ascii="Lato Light" w:hAnsi="Lato Light" w:cstheme="majorHAnsi"/>
          <w:b/>
          <w:bCs/>
        </w:rPr>
      </w:pPr>
      <w:r w:rsidRPr="00466B2B">
        <w:rPr>
          <w:rFonts w:ascii="Lato Light" w:hAnsi="Lato Light" w:cstheme="majorHAnsi"/>
          <w:b/>
          <w:bCs/>
        </w:rPr>
        <w:t>Overview:</w:t>
      </w:r>
    </w:p>
    <w:p w14:paraId="367790C0" w14:textId="77777777" w:rsidR="00466B2B" w:rsidRDefault="00466B2B" w:rsidP="00745EE1">
      <w:pPr>
        <w:spacing w:line="240" w:lineRule="auto"/>
        <w:rPr>
          <w:rFonts w:ascii="Lato Light" w:hAnsi="Lato Light" w:cstheme="majorHAnsi"/>
        </w:rPr>
      </w:pPr>
    </w:p>
    <w:p w14:paraId="5F3B5D6C" w14:textId="1FCD01D3" w:rsidR="00E35156" w:rsidRDefault="00E35156" w:rsidP="00745EE1">
      <w:pPr>
        <w:spacing w:line="240" w:lineRule="auto"/>
        <w:rPr>
          <w:rFonts w:ascii="Lato Light" w:hAnsi="Lato Light" w:cstheme="majorHAnsi"/>
        </w:rPr>
      </w:pPr>
      <w:r w:rsidRPr="00E35156">
        <w:rPr>
          <w:rFonts w:ascii="Lato Light" w:hAnsi="Lato Light" w:cstheme="majorHAnsi"/>
        </w:rPr>
        <w:t xml:space="preserve">Section </w:t>
      </w:r>
      <w:r w:rsidR="008D460E">
        <w:rPr>
          <w:rFonts w:ascii="Lato Light" w:hAnsi="Lato Light" w:cstheme="majorHAnsi"/>
        </w:rPr>
        <w:t>129</w:t>
      </w:r>
      <w:r w:rsidRPr="00E35156">
        <w:rPr>
          <w:rFonts w:ascii="Lato Light" w:hAnsi="Lato Light" w:cstheme="majorHAnsi"/>
        </w:rPr>
        <w:t xml:space="preserve"> of the Internal Revenue Code </w:t>
      </w:r>
      <w:r>
        <w:rPr>
          <w:rFonts w:ascii="Lato Light" w:hAnsi="Lato Light" w:cstheme="majorHAnsi"/>
        </w:rPr>
        <w:t>permit</w:t>
      </w:r>
      <w:r w:rsidRPr="00E35156">
        <w:rPr>
          <w:rFonts w:ascii="Lato Light" w:hAnsi="Lato Light" w:cstheme="majorHAnsi"/>
        </w:rPr>
        <w:t xml:space="preserve">s employers to </w:t>
      </w:r>
      <w:r w:rsidR="00482367">
        <w:rPr>
          <w:rFonts w:ascii="Lato Light" w:hAnsi="Lato Light" w:cstheme="majorHAnsi"/>
        </w:rPr>
        <w:t xml:space="preserve">sponsor </w:t>
      </w:r>
      <w:r w:rsidR="008D460E">
        <w:rPr>
          <w:rFonts w:ascii="Lato Light" w:hAnsi="Lato Light" w:cstheme="majorHAnsi"/>
        </w:rPr>
        <w:t>a flexible spending account (FSA) which employees may use to reimburse qualified dependent daycare expenses</w:t>
      </w:r>
      <w:r w:rsidRPr="00E35156">
        <w:rPr>
          <w:rFonts w:ascii="Lato Light" w:hAnsi="Lato Light" w:cstheme="majorHAnsi"/>
        </w:rPr>
        <w:t xml:space="preserve">.  </w:t>
      </w:r>
      <w:r w:rsidR="00466B2B">
        <w:rPr>
          <w:rFonts w:ascii="Lato Light" w:hAnsi="Lato Light" w:cstheme="majorHAnsi"/>
        </w:rPr>
        <w:t>E</w:t>
      </w:r>
      <w:r w:rsidRPr="00E35156">
        <w:rPr>
          <w:rFonts w:ascii="Lato Light" w:hAnsi="Lato Light" w:cstheme="majorHAnsi"/>
        </w:rPr>
        <w:t xml:space="preserve">mployers </w:t>
      </w:r>
      <w:r w:rsidR="00466B2B">
        <w:rPr>
          <w:rFonts w:ascii="Lato Light" w:hAnsi="Lato Light" w:cstheme="majorHAnsi"/>
        </w:rPr>
        <w:t>must</w:t>
      </w:r>
      <w:r w:rsidRPr="00E35156">
        <w:rPr>
          <w:rFonts w:ascii="Lato Light" w:hAnsi="Lato Light" w:cstheme="majorHAnsi"/>
        </w:rPr>
        <w:t xml:space="preserve"> annually run </w:t>
      </w:r>
      <w:r w:rsidR="008D460E">
        <w:rPr>
          <w:rFonts w:ascii="Lato Light" w:hAnsi="Lato Light" w:cstheme="majorHAnsi"/>
        </w:rPr>
        <w:t>four</w:t>
      </w:r>
      <w:r w:rsidRPr="00E35156">
        <w:rPr>
          <w:rFonts w:ascii="Lato Light" w:hAnsi="Lato Light" w:cstheme="majorHAnsi"/>
        </w:rPr>
        <w:t xml:space="preserve"> non-discrimination tests</w:t>
      </w:r>
      <w:r w:rsidR="00D5038C">
        <w:rPr>
          <w:rFonts w:ascii="Lato Light" w:hAnsi="Lato Light" w:cstheme="majorHAnsi"/>
        </w:rPr>
        <w:t xml:space="preserve"> (NDT)</w:t>
      </w:r>
      <w:r w:rsidRPr="00E35156">
        <w:rPr>
          <w:rFonts w:ascii="Lato Light" w:hAnsi="Lato Light" w:cstheme="majorHAnsi"/>
        </w:rPr>
        <w:t xml:space="preserve"> to ensure the</w:t>
      </w:r>
      <w:r w:rsidR="00466B2B">
        <w:rPr>
          <w:rFonts w:ascii="Lato Light" w:hAnsi="Lato Light" w:cstheme="majorHAnsi"/>
        </w:rPr>
        <w:t xml:space="preserve"> tax-favored</w:t>
      </w:r>
      <w:r w:rsidRPr="00E35156">
        <w:rPr>
          <w:rFonts w:ascii="Lato Light" w:hAnsi="Lato Light" w:cstheme="majorHAnsi"/>
        </w:rPr>
        <w:t xml:space="preserve"> benefits flowing through </w:t>
      </w:r>
      <w:r w:rsidR="008D460E">
        <w:rPr>
          <w:rFonts w:ascii="Lato Light" w:hAnsi="Lato Light" w:cstheme="majorHAnsi"/>
        </w:rPr>
        <w:t>the</w:t>
      </w:r>
      <w:r w:rsidR="00266EF3">
        <w:rPr>
          <w:rFonts w:ascii="Lato Light" w:hAnsi="Lato Light" w:cstheme="majorHAnsi"/>
        </w:rPr>
        <w:t xml:space="preserve"> </w:t>
      </w:r>
      <w:r w:rsidRPr="00E35156">
        <w:rPr>
          <w:rFonts w:ascii="Lato Light" w:hAnsi="Lato Light" w:cstheme="majorHAnsi"/>
        </w:rPr>
        <w:t>plan do not overly favor highly compensated</w:t>
      </w:r>
      <w:r w:rsidR="00482367">
        <w:rPr>
          <w:rFonts w:ascii="Lato Light" w:hAnsi="Lato Light" w:cstheme="majorHAnsi"/>
        </w:rPr>
        <w:t xml:space="preserve"> </w:t>
      </w:r>
      <w:r w:rsidR="00421F0C">
        <w:rPr>
          <w:rFonts w:ascii="Lato Light" w:hAnsi="Lato Light" w:cstheme="majorHAnsi"/>
        </w:rPr>
        <w:t>employees</w:t>
      </w:r>
      <w:r w:rsidR="00266EF3">
        <w:rPr>
          <w:rFonts w:ascii="Lato Light" w:hAnsi="Lato Light" w:cstheme="majorHAnsi"/>
        </w:rPr>
        <w:t xml:space="preserve"> (HC</w:t>
      </w:r>
      <w:r w:rsidR="00421F0C">
        <w:rPr>
          <w:rFonts w:ascii="Lato Light" w:hAnsi="Lato Light" w:cstheme="majorHAnsi"/>
        </w:rPr>
        <w:t>E</w:t>
      </w:r>
      <w:r w:rsidR="00266EF3">
        <w:rPr>
          <w:rFonts w:ascii="Lato Light" w:hAnsi="Lato Light" w:cstheme="majorHAnsi"/>
        </w:rPr>
        <w:t>s)</w:t>
      </w:r>
      <w:r w:rsidRPr="00E35156">
        <w:rPr>
          <w:rFonts w:ascii="Lato Light" w:hAnsi="Lato Light" w:cstheme="majorHAnsi"/>
        </w:rPr>
        <w:t>.</w:t>
      </w:r>
      <w:r>
        <w:rPr>
          <w:rFonts w:ascii="Lato Light" w:hAnsi="Lato Light" w:cstheme="majorHAnsi"/>
        </w:rPr>
        <w:t xml:space="preserve"> </w:t>
      </w:r>
    </w:p>
    <w:p w14:paraId="7AD00B72" w14:textId="77777777" w:rsidR="00726337" w:rsidRDefault="00726337" w:rsidP="00745EE1">
      <w:pPr>
        <w:spacing w:line="240" w:lineRule="auto"/>
        <w:rPr>
          <w:rFonts w:ascii="Lato Light" w:hAnsi="Lato Light" w:cstheme="majorHAnsi"/>
        </w:rPr>
      </w:pPr>
    </w:p>
    <w:p w14:paraId="3EB5E527" w14:textId="59EDCC68" w:rsidR="00731213" w:rsidRDefault="001F423C" w:rsidP="00731213">
      <w:pPr>
        <w:spacing w:line="240" w:lineRule="auto"/>
        <w:rPr>
          <w:rFonts w:ascii="Lato Light" w:hAnsi="Lato Light" w:cstheme="majorHAnsi"/>
          <w:b/>
          <w:bCs/>
        </w:rPr>
      </w:pPr>
      <w:r w:rsidRPr="00731213">
        <w:rPr>
          <w:rFonts w:ascii="Lato Light" w:hAnsi="Lato Light" w:cstheme="majorHAnsi"/>
          <w:b/>
          <w:bCs/>
        </w:rPr>
        <w:t xml:space="preserve">Applies </w:t>
      </w:r>
      <w:r w:rsidR="00731213">
        <w:rPr>
          <w:rFonts w:ascii="Lato Light" w:hAnsi="Lato Light" w:cstheme="majorHAnsi"/>
          <w:b/>
          <w:bCs/>
        </w:rPr>
        <w:t>T</w:t>
      </w:r>
      <w:r w:rsidRPr="00731213">
        <w:rPr>
          <w:rFonts w:ascii="Lato Light" w:hAnsi="Lato Light" w:cstheme="majorHAnsi"/>
          <w:b/>
          <w:bCs/>
        </w:rPr>
        <w:t>o:</w:t>
      </w:r>
      <w:r w:rsidR="00731213">
        <w:rPr>
          <w:rFonts w:ascii="Lato Light" w:hAnsi="Lato Light" w:cstheme="majorHAnsi"/>
          <w:b/>
          <w:bCs/>
        </w:rPr>
        <w:t xml:space="preserve">  </w:t>
      </w:r>
    </w:p>
    <w:p w14:paraId="548F43DB" w14:textId="77777777" w:rsidR="009F51CE" w:rsidRDefault="009F51CE" w:rsidP="009F51CE">
      <w:pPr>
        <w:spacing w:line="240" w:lineRule="auto"/>
        <w:rPr>
          <w:rFonts w:ascii="Lato Light" w:hAnsi="Lato Light" w:cstheme="majorHAnsi"/>
          <w:b/>
          <w:bCs/>
        </w:rPr>
      </w:pPr>
    </w:p>
    <w:p w14:paraId="757E9EA9" w14:textId="18EFB0BE" w:rsidR="001F423C" w:rsidRPr="009F51CE" w:rsidRDefault="001F423C" w:rsidP="009F51CE">
      <w:pPr>
        <w:spacing w:line="240" w:lineRule="auto"/>
        <w:rPr>
          <w:rFonts w:ascii="Lato Light" w:hAnsi="Lato Light" w:cstheme="majorHAnsi"/>
          <w:b/>
          <w:bCs/>
        </w:rPr>
      </w:pPr>
      <w:r w:rsidRPr="009F51CE">
        <w:rPr>
          <w:rFonts w:ascii="Lato Light" w:hAnsi="Lato Light" w:cstheme="majorHAnsi"/>
        </w:rPr>
        <w:t xml:space="preserve">All </w:t>
      </w:r>
      <w:r w:rsidR="00421F0C" w:rsidRPr="009F51CE">
        <w:rPr>
          <w:rFonts w:ascii="Lato Light" w:hAnsi="Lato Light" w:cstheme="majorHAnsi"/>
        </w:rPr>
        <w:t>size employers sponsoring a dependent daycare FSA</w:t>
      </w:r>
      <w:r w:rsidR="00B5199E" w:rsidRPr="009F51CE">
        <w:rPr>
          <w:rFonts w:ascii="Lato Light" w:hAnsi="Lato Light" w:cstheme="majorHAnsi"/>
        </w:rPr>
        <w:t xml:space="preserve">, regardless </w:t>
      </w:r>
      <w:r w:rsidR="00027EF7" w:rsidRPr="009F51CE">
        <w:rPr>
          <w:rFonts w:ascii="Lato Light" w:hAnsi="Lato Light" w:cstheme="majorHAnsi"/>
        </w:rPr>
        <w:t xml:space="preserve">of </w:t>
      </w:r>
      <w:r w:rsidR="00421F0C" w:rsidRPr="009F51CE">
        <w:rPr>
          <w:rFonts w:ascii="Lato Light" w:hAnsi="Lato Light" w:cstheme="majorHAnsi"/>
        </w:rPr>
        <w:t xml:space="preserve">whether </w:t>
      </w:r>
      <w:r w:rsidR="009F51CE">
        <w:rPr>
          <w:rFonts w:ascii="Lato Light" w:hAnsi="Lato Light" w:cstheme="majorHAnsi"/>
        </w:rPr>
        <w:t>employer funded</w:t>
      </w:r>
      <w:r w:rsidR="00421F0C" w:rsidRPr="009F51CE">
        <w:rPr>
          <w:rFonts w:ascii="Lato Light" w:hAnsi="Lato Light" w:cstheme="majorHAnsi"/>
        </w:rPr>
        <w:t xml:space="preserve"> and/or employees fund pre-tax through the §125 cafeteria plan</w:t>
      </w:r>
      <w:r w:rsidRPr="009F51CE">
        <w:rPr>
          <w:rFonts w:ascii="Lato Light" w:hAnsi="Lato Light" w:cstheme="majorHAnsi"/>
        </w:rPr>
        <w:t>.</w:t>
      </w:r>
    </w:p>
    <w:p w14:paraId="14561E34" w14:textId="77777777" w:rsidR="001F423C" w:rsidRDefault="001F423C" w:rsidP="00745EE1">
      <w:pPr>
        <w:spacing w:line="240" w:lineRule="auto"/>
        <w:rPr>
          <w:rFonts w:ascii="Lato Light" w:hAnsi="Lato Light" w:cstheme="majorHAnsi"/>
          <w:b/>
          <w:bCs/>
        </w:rPr>
      </w:pPr>
    </w:p>
    <w:p w14:paraId="0000000F" w14:textId="08601486" w:rsidR="0001489F" w:rsidRPr="00731213" w:rsidRDefault="001F423C" w:rsidP="00745EE1">
      <w:pPr>
        <w:spacing w:line="240" w:lineRule="auto"/>
        <w:rPr>
          <w:rFonts w:ascii="Lato Light" w:hAnsi="Lato Light" w:cstheme="majorHAnsi"/>
          <w:b/>
          <w:bCs/>
        </w:rPr>
      </w:pPr>
      <w:r w:rsidRPr="00731213">
        <w:rPr>
          <w:rFonts w:ascii="Lato Light" w:hAnsi="Lato Light" w:cstheme="majorHAnsi"/>
          <w:b/>
          <w:bCs/>
        </w:rPr>
        <w:t>Go Deeper</w:t>
      </w:r>
      <w:r w:rsidR="005B04D9" w:rsidRPr="00731213">
        <w:rPr>
          <w:rFonts w:ascii="Lato Light" w:hAnsi="Lato Light" w:cstheme="majorHAnsi"/>
          <w:b/>
          <w:bCs/>
        </w:rPr>
        <w:t xml:space="preserve">: </w:t>
      </w:r>
    </w:p>
    <w:p w14:paraId="738A8264" w14:textId="77777777" w:rsidR="001F423C" w:rsidRPr="00731213" w:rsidRDefault="001F423C" w:rsidP="00745EE1">
      <w:pPr>
        <w:spacing w:line="240" w:lineRule="auto"/>
        <w:rPr>
          <w:rFonts w:ascii="Lato Light" w:hAnsi="Lato Light" w:cstheme="majorHAnsi"/>
          <w:b/>
          <w:bCs/>
        </w:rPr>
      </w:pPr>
    </w:p>
    <w:p w14:paraId="01E882EF" w14:textId="6930F14C" w:rsidR="00731213" w:rsidRDefault="00266EF3" w:rsidP="00745EE1">
      <w:pPr>
        <w:spacing w:line="240" w:lineRule="auto"/>
        <w:rPr>
          <w:rFonts w:ascii="Lato Light" w:hAnsi="Lato Light" w:cstheme="majorHAnsi"/>
        </w:rPr>
      </w:pPr>
      <w:r>
        <w:rPr>
          <w:rFonts w:ascii="Lato Light" w:hAnsi="Lato Light" w:cstheme="majorHAnsi"/>
        </w:rPr>
        <w:t>T</w:t>
      </w:r>
      <w:r w:rsidR="001336CF">
        <w:rPr>
          <w:rFonts w:ascii="Lato Light" w:hAnsi="Lato Light" w:cstheme="majorHAnsi"/>
        </w:rPr>
        <w:t xml:space="preserve">here are </w:t>
      </w:r>
      <w:r w:rsidR="00421F0C">
        <w:rPr>
          <w:rFonts w:ascii="Lato Light" w:hAnsi="Lato Light" w:cstheme="majorHAnsi"/>
        </w:rPr>
        <w:t>four</w:t>
      </w:r>
      <w:r w:rsidR="001336CF">
        <w:rPr>
          <w:rFonts w:ascii="Lato Light" w:hAnsi="Lato Light" w:cstheme="majorHAnsi"/>
        </w:rPr>
        <w:t xml:space="preserve"> </w:t>
      </w:r>
      <w:r w:rsidR="00C27D18">
        <w:rPr>
          <w:rFonts w:ascii="Lato Light" w:hAnsi="Lato Light" w:cstheme="majorHAnsi"/>
        </w:rPr>
        <w:t>non-discrimination test</w:t>
      </w:r>
      <w:r w:rsidR="001336CF">
        <w:rPr>
          <w:rFonts w:ascii="Lato Light" w:hAnsi="Lato Light" w:cstheme="majorHAnsi"/>
        </w:rPr>
        <w:t xml:space="preserve">s under </w:t>
      </w:r>
      <w:r w:rsidR="00466B2B">
        <w:rPr>
          <w:rFonts w:ascii="Lato Light" w:hAnsi="Lato Light" w:cstheme="majorHAnsi"/>
        </w:rPr>
        <w:t>§</w:t>
      </w:r>
      <w:r w:rsidR="001336CF">
        <w:rPr>
          <w:rFonts w:ascii="Lato Light" w:hAnsi="Lato Light" w:cstheme="majorHAnsi"/>
        </w:rPr>
        <w:t>1</w:t>
      </w:r>
      <w:r w:rsidR="00421F0C">
        <w:rPr>
          <w:rFonts w:ascii="Lato Light" w:hAnsi="Lato Light" w:cstheme="majorHAnsi"/>
        </w:rPr>
        <w:t>29</w:t>
      </w:r>
      <w:r>
        <w:rPr>
          <w:rFonts w:ascii="Lato Light" w:hAnsi="Lato Light" w:cstheme="majorHAnsi"/>
        </w:rPr>
        <w:t xml:space="preserve"> </w:t>
      </w:r>
      <w:r w:rsidR="009671FC">
        <w:rPr>
          <w:rFonts w:ascii="Lato Light" w:hAnsi="Lato Light" w:cstheme="majorHAnsi"/>
        </w:rPr>
        <w:t>for</w:t>
      </w:r>
      <w:r>
        <w:rPr>
          <w:rFonts w:ascii="Lato Light" w:hAnsi="Lato Light" w:cstheme="majorHAnsi"/>
        </w:rPr>
        <w:t xml:space="preserve"> </w:t>
      </w:r>
      <w:r w:rsidR="00421F0C">
        <w:rPr>
          <w:rFonts w:ascii="Lato Light" w:hAnsi="Lato Light" w:cstheme="majorHAnsi"/>
        </w:rPr>
        <w:t>the dependent daycare FSA</w:t>
      </w:r>
      <w:r w:rsidR="00731213">
        <w:rPr>
          <w:rFonts w:ascii="Lato Light" w:hAnsi="Lato Light" w:cstheme="majorHAnsi"/>
        </w:rPr>
        <w:t>:</w:t>
      </w:r>
    </w:p>
    <w:p w14:paraId="0D22F718" w14:textId="77777777" w:rsidR="00731213" w:rsidRDefault="00731213" w:rsidP="00745EE1">
      <w:pPr>
        <w:spacing w:line="240" w:lineRule="auto"/>
        <w:rPr>
          <w:rFonts w:ascii="Lato Light" w:hAnsi="Lato Light" w:cstheme="majorHAnsi"/>
        </w:rPr>
      </w:pPr>
    </w:p>
    <w:p w14:paraId="5490B140" w14:textId="754A1880" w:rsidR="00731213" w:rsidRDefault="001336CF" w:rsidP="00466B2B">
      <w:pPr>
        <w:pStyle w:val="ListParagraph"/>
        <w:numPr>
          <w:ilvl w:val="0"/>
          <w:numId w:val="21"/>
        </w:numPr>
        <w:spacing w:line="240" w:lineRule="auto"/>
        <w:rPr>
          <w:rFonts w:ascii="Lato Light" w:hAnsi="Lato Light" w:cstheme="majorHAnsi"/>
        </w:rPr>
      </w:pPr>
      <w:r>
        <w:rPr>
          <w:rFonts w:ascii="Lato Light" w:hAnsi="Lato Light" w:cstheme="majorHAnsi"/>
        </w:rPr>
        <w:t xml:space="preserve">Eligibility </w:t>
      </w:r>
      <w:r w:rsidR="0062294B">
        <w:rPr>
          <w:rFonts w:ascii="Lato Light" w:hAnsi="Lato Light" w:cstheme="majorHAnsi"/>
        </w:rPr>
        <w:t>T</w:t>
      </w:r>
      <w:r>
        <w:rPr>
          <w:rFonts w:ascii="Lato Light" w:hAnsi="Lato Light" w:cstheme="majorHAnsi"/>
        </w:rPr>
        <w:t>est</w:t>
      </w:r>
      <w:r w:rsidR="001F423C" w:rsidRPr="00731213">
        <w:rPr>
          <w:rFonts w:ascii="Lato Light" w:hAnsi="Lato Light" w:cstheme="majorHAnsi"/>
        </w:rPr>
        <w:t xml:space="preserve"> </w:t>
      </w:r>
    </w:p>
    <w:p w14:paraId="1AC220F2" w14:textId="583E9E41" w:rsidR="001F423C" w:rsidRDefault="00421F0C" w:rsidP="00466B2B">
      <w:pPr>
        <w:pStyle w:val="ListParagraph"/>
        <w:numPr>
          <w:ilvl w:val="0"/>
          <w:numId w:val="21"/>
        </w:numPr>
        <w:spacing w:line="240" w:lineRule="auto"/>
        <w:rPr>
          <w:rFonts w:ascii="Lato Light" w:hAnsi="Lato Light" w:cstheme="majorHAnsi"/>
        </w:rPr>
      </w:pPr>
      <w:r>
        <w:rPr>
          <w:rFonts w:ascii="Lato Light" w:hAnsi="Lato Light" w:cstheme="majorHAnsi"/>
        </w:rPr>
        <w:t xml:space="preserve">Contributions and </w:t>
      </w:r>
      <w:r w:rsidR="001336CF">
        <w:rPr>
          <w:rFonts w:ascii="Lato Light" w:hAnsi="Lato Light" w:cstheme="majorHAnsi"/>
        </w:rPr>
        <w:t xml:space="preserve">Benefits </w:t>
      </w:r>
      <w:r>
        <w:rPr>
          <w:rFonts w:ascii="Lato Light" w:hAnsi="Lato Light" w:cstheme="majorHAnsi"/>
        </w:rPr>
        <w:t xml:space="preserve">(C&amp;B) </w:t>
      </w:r>
      <w:r w:rsidR="0062294B">
        <w:rPr>
          <w:rFonts w:ascii="Lato Light" w:hAnsi="Lato Light" w:cstheme="majorHAnsi"/>
        </w:rPr>
        <w:t>T</w:t>
      </w:r>
      <w:r w:rsidR="001336CF">
        <w:rPr>
          <w:rFonts w:ascii="Lato Light" w:hAnsi="Lato Light" w:cstheme="majorHAnsi"/>
        </w:rPr>
        <w:t>est</w:t>
      </w:r>
    </w:p>
    <w:p w14:paraId="3C0C92A7" w14:textId="30C79DBE" w:rsidR="00421F0C" w:rsidRDefault="00421F0C" w:rsidP="00466B2B">
      <w:pPr>
        <w:pStyle w:val="ListParagraph"/>
        <w:numPr>
          <w:ilvl w:val="0"/>
          <w:numId w:val="21"/>
        </w:numPr>
        <w:spacing w:line="240" w:lineRule="auto"/>
        <w:rPr>
          <w:rFonts w:ascii="Lato Light" w:hAnsi="Lato Light" w:cstheme="majorHAnsi"/>
        </w:rPr>
      </w:pPr>
      <w:r>
        <w:rPr>
          <w:rFonts w:ascii="Lato Light" w:hAnsi="Lato Light" w:cstheme="majorHAnsi"/>
        </w:rPr>
        <w:t>More-than-5% Owners Concentration Test</w:t>
      </w:r>
    </w:p>
    <w:p w14:paraId="656573FB" w14:textId="09A2635A" w:rsidR="00421F0C" w:rsidRDefault="00421F0C" w:rsidP="00466B2B">
      <w:pPr>
        <w:pStyle w:val="ListParagraph"/>
        <w:numPr>
          <w:ilvl w:val="0"/>
          <w:numId w:val="21"/>
        </w:numPr>
        <w:spacing w:line="240" w:lineRule="auto"/>
        <w:rPr>
          <w:rFonts w:ascii="Lato Light" w:hAnsi="Lato Light" w:cstheme="majorHAnsi"/>
        </w:rPr>
      </w:pPr>
      <w:r>
        <w:rPr>
          <w:rFonts w:ascii="Lato Light" w:hAnsi="Lato Light" w:cstheme="majorHAnsi"/>
        </w:rPr>
        <w:t xml:space="preserve">55% Average Benefits Test </w:t>
      </w:r>
      <w:r w:rsidRPr="00421F0C">
        <w:rPr>
          <w:rFonts w:ascii="Lato Light" w:hAnsi="Lato Light" w:cstheme="majorHAnsi"/>
          <w:i/>
          <w:iCs/>
        </w:rPr>
        <w:t>(this is the test failed most often)</w:t>
      </w:r>
    </w:p>
    <w:p w14:paraId="625ACC8D" w14:textId="085FB618" w:rsidR="008C4703" w:rsidRDefault="008C4703" w:rsidP="00745EE1">
      <w:pPr>
        <w:spacing w:line="240" w:lineRule="auto"/>
        <w:rPr>
          <w:rFonts w:ascii="Lato Light" w:hAnsi="Lato Light" w:cstheme="majorHAnsi"/>
        </w:rPr>
      </w:pPr>
    </w:p>
    <w:p w14:paraId="161D58C5" w14:textId="23F3E003" w:rsidR="00087651" w:rsidRPr="00496C84" w:rsidRDefault="00087651" w:rsidP="00745EE1">
      <w:pPr>
        <w:spacing w:line="240" w:lineRule="auto"/>
        <w:rPr>
          <w:rFonts w:ascii="Lato Light" w:hAnsi="Lato Light" w:cstheme="majorHAnsi"/>
          <w:i/>
          <w:iCs/>
        </w:rPr>
      </w:pPr>
      <w:r w:rsidRPr="00496C84">
        <w:rPr>
          <w:rFonts w:ascii="Lato Light" w:hAnsi="Lato Light" w:cstheme="majorHAnsi"/>
          <w:i/>
          <w:iCs/>
        </w:rPr>
        <w:t xml:space="preserve">Note that </w:t>
      </w:r>
      <w:r w:rsidR="00421F0C">
        <w:rPr>
          <w:rFonts w:ascii="Lato Light" w:hAnsi="Lato Light" w:cstheme="majorHAnsi"/>
          <w:i/>
          <w:iCs/>
        </w:rPr>
        <w:t>employers allowing</w:t>
      </w:r>
      <w:r w:rsidR="00BC31B0">
        <w:rPr>
          <w:rFonts w:ascii="Lato Light" w:hAnsi="Lato Light" w:cstheme="majorHAnsi"/>
          <w:i/>
          <w:iCs/>
        </w:rPr>
        <w:t xml:space="preserve"> employees</w:t>
      </w:r>
      <w:r w:rsidR="00421F0C">
        <w:rPr>
          <w:rFonts w:ascii="Lato Light" w:hAnsi="Lato Light" w:cstheme="majorHAnsi"/>
          <w:i/>
          <w:iCs/>
        </w:rPr>
        <w:t xml:space="preserve"> to</w:t>
      </w:r>
      <w:r w:rsidR="00BC31B0">
        <w:rPr>
          <w:rFonts w:ascii="Lato Light" w:hAnsi="Lato Light" w:cstheme="majorHAnsi"/>
          <w:i/>
          <w:iCs/>
        </w:rPr>
        <w:t xml:space="preserve"> </w:t>
      </w:r>
      <w:r w:rsidR="00421F0C">
        <w:rPr>
          <w:rFonts w:ascii="Lato Light" w:hAnsi="Lato Light" w:cstheme="majorHAnsi"/>
          <w:i/>
          <w:iCs/>
        </w:rPr>
        <w:t>fund this</w:t>
      </w:r>
      <w:r w:rsidR="00BC31B0">
        <w:rPr>
          <w:rFonts w:ascii="Lato Light" w:hAnsi="Lato Light" w:cstheme="majorHAnsi"/>
          <w:i/>
          <w:iCs/>
        </w:rPr>
        <w:t xml:space="preserve"> pre-tax from their paychecks are also subject to</w:t>
      </w:r>
      <w:r w:rsidR="00496C84" w:rsidRPr="00496C84">
        <w:rPr>
          <w:rFonts w:ascii="Lato Light" w:hAnsi="Lato Light" w:cstheme="majorHAnsi"/>
          <w:i/>
          <w:iCs/>
        </w:rPr>
        <w:t xml:space="preserve"> completely separate tests under §1</w:t>
      </w:r>
      <w:r w:rsidR="00266EF3">
        <w:rPr>
          <w:rFonts w:ascii="Lato Light" w:hAnsi="Lato Light" w:cstheme="majorHAnsi"/>
          <w:i/>
          <w:iCs/>
        </w:rPr>
        <w:t>2</w:t>
      </w:r>
      <w:r w:rsidR="00496C84" w:rsidRPr="00496C84">
        <w:rPr>
          <w:rFonts w:ascii="Lato Light" w:hAnsi="Lato Light" w:cstheme="majorHAnsi"/>
          <w:i/>
          <w:iCs/>
        </w:rPr>
        <w:t xml:space="preserve">5 </w:t>
      </w:r>
      <w:r w:rsidR="00266EF3">
        <w:rPr>
          <w:rFonts w:ascii="Lato Light" w:hAnsi="Lato Light" w:cstheme="majorHAnsi"/>
          <w:i/>
          <w:iCs/>
        </w:rPr>
        <w:t>cafeteria plan rules</w:t>
      </w:r>
      <w:r w:rsidRPr="00496C84">
        <w:rPr>
          <w:rFonts w:ascii="Lato Light" w:hAnsi="Lato Light" w:cstheme="majorHAnsi"/>
          <w:i/>
          <w:iCs/>
        </w:rPr>
        <w:t>.</w:t>
      </w:r>
      <w:r w:rsidR="00496C84">
        <w:rPr>
          <w:rFonts w:ascii="Lato Light" w:hAnsi="Lato Light" w:cstheme="majorHAnsi"/>
          <w:i/>
          <w:iCs/>
        </w:rPr>
        <w:t xml:space="preserve">  </w:t>
      </w:r>
      <w:r w:rsidR="00027EF7">
        <w:rPr>
          <w:rFonts w:ascii="Lato Light" w:hAnsi="Lato Light" w:cstheme="majorHAnsi"/>
          <w:i/>
          <w:iCs/>
        </w:rPr>
        <w:t xml:space="preserve">Cafeteria plan </w:t>
      </w:r>
      <w:r w:rsidR="00496C84">
        <w:rPr>
          <w:rFonts w:ascii="Lato Light" w:hAnsi="Lato Light" w:cstheme="majorHAnsi"/>
          <w:i/>
          <w:iCs/>
        </w:rPr>
        <w:t xml:space="preserve">tests are not </w:t>
      </w:r>
      <w:r w:rsidR="004D2457">
        <w:rPr>
          <w:rFonts w:ascii="Lato Light" w:hAnsi="Lato Light" w:cstheme="majorHAnsi"/>
          <w:i/>
          <w:iCs/>
        </w:rPr>
        <w:t xml:space="preserve">discussed </w:t>
      </w:r>
      <w:r w:rsidR="00496C84">
        <w:rPr>
          <w:rFonts w:ascii="Lato Light" w:hAnsi="Lato Light" w:cstheme="majorHAnsi"/>
          <w:i/>
          <w:iCs/>
        </w:rPr>
        <w:t>here.</w:t>
      </w:r>
    </w:p>
    <w:p w14:paraId="6F24CA6A" w14:textId="77777777" w:rsidR="00087651" w:rsidRDefault="00087651" w:rsidP="00745EE1">
      <w:pPr>
        <w:spacing w:line="240" w:lineRule="auto"/>
        <w:rPr>
          <w:rFonts w:ascii="Lato Light" w:hAnsi="Lato Light" w:cstheme="majorHAnsi"/>
        </w:rPr>
      </w:pPr>
    </w:p>
    <w:p w14:paraId="61AD4195" w14:textId="21ED156D" w:rsidR="007D0439" w:rsidRDefault="00496C84" w:rsidP="00745EE1">
      <w:pPr>
        <w:spacing w:line="240" w:lineRule="auto"/>
        <w:rPr>
          <w:rFonts w:ascii="Lato Light" w:hAnsi="Lato Light" w:cstheme="majorHAnsi"/>
        </w:rPr>
      </w:pPr>
      <w:r>
        <w:rPr>
          <w:rFonts w:ascii="Lato Light" w:hAnsi="Lato Light" w:cstheme="majorHAnsi"/>
        </w:rPr>
        <w:t xml:space="preserve">Employers are allowed to vary benefits or contributions by reasonable classifications as long as they don’t overly favor </w:t>
      </w:r>
      <w:r w:rsidR="00266EF3">
        <w:rPr>
          <w:rFonts w:ascii="Lato Light" w:hAnsi="Lato Light" w:cstheme="majorHAnsi"/>
        </w:rPr>
        <w:t>HC</w:t>
      </w:r>
      <w:r w:rsidR="00421F0C">
        <w:rPr>
          <w:rFonts w:ascii="Lato Light" w:hAnsi="Lato Light" w:cstheme="majorHAnsi"/>
        </w:rPr>
        <w:t>E</w:t>
      </w:r>
      <w:r w:rsidR="00266EF3">
        <w:rPr>
          <w:rFonts w:ascii="Lato Light" w:hAnsi="Lato Light" w:cstheme="majorHAnsi"/>
        </w:rPr>
        <w:t>s</w:t>
      </w:r>
      <w:r>
        <w:rPr>
          <w:rFonts w:ascii="Lato Light" w:hAnsi="Lato Light" w:cstheme="majorHAnsi"/>
        </w:rPr>
        <w:t>.</w:t>
      </w:r>
      <w:r w:rsidR="007D0439">
        <w:rPr>
          <w:rFonts w:ascii="Lato Light" w:hAnsi="Lato Light" w:cstheme="majorHAnsi"/>
        </w:rPr>
        <w:t xml:space="preserve">  For example, many employers exclude part-time employees, which is permissible if testing is passed.</w:t>
      </w:r>
    </w:p>
    <w:p w14:paraId="4A306C4E" w14:textId="77777777" w:rsidR="007D0439" w:rsidRDefault="007D0439" w:rsidP="00745EE1">
      <w:pPr>
        <w:spacing w:line="240" w:lineRule="auto"/>
        <w:rPr>
          <w:rFonts w:ascii="Lato Light" w:hAnsi="Lato Light" w:cstheme="majorHAnsi"/>
        </w:rPr>
      </w:pPr>
    </w:p>
    <w:p w14:paraId="59E8248A" w14:textId="1CC8F35C" w:rsidR="00496C84" w:rsidRDefault="007D0439" w:rsidP="00496C84">
      <w:pPr>
        <w:rPr>
          <w:rFonts w:ascii="Lato Light" w:hAnsi="Lato Light" w:cstheme="majorHAnsi"/>
        </w:rPr>
      </w:pPr>
      <w:r>
        <w:rPr>
          <w:rFonts w:ascii="Lato Light" w:hAnsi="Lato Light" w:cstheme="majorHAnsi"/>
        </w:rPr>
        <w:t xml:space="preserve">The plan cannot overly favor </w:t>
      </w:r>
      <w:r w:rsidR="00266EF3">
        <w:rPr>
          <w:rFonts w:ascii="Lato Light" w:hAnsi="Lato Light" w:cstheme="majorHAnsi"/>
        </w:rPr>
        <w:t>HC</w:t>
      </w:r>
      <w:r w:rsidR="00421F0C">
        <w:rPr>
          <w:rFonts w:ascii="Lato Light" w:hAnsi="Lato Light" w:cstheme="majorHAnsi"/>
        </w:rPr>
        <w:t>E</w:t>
      </w:r>
      <w:r w:rsidR="00266EF3">
        <w:rPr>
          <w:rFonts w:ascii="Lato Light" w:hAnsi="Lato Light" w:cstheme="majorHAnsi"/>
        </w:rPr>
        <w:t>s</w:t>
      </w:r>
      <w:r>
        <w:rPr>
          <w:rFonts w:ascii="Lato Light" w:hAnsi="Lato Light" w:cstheme="majorHAnsi"/>
        </w:rPr>
        <w:t>, defined as follows:</w:t>
      </w:r>
    </w:p>
    <w:p w14:paraId="38ED3C9F" w14:textId="77777777" w:rsidR="007D0439" w:rsidRDefault="007D0439" w:rsidP="00496C84">
      <w:pPr>
        <w:rPr>
          <w:rFonts w:ascii="Lato Light" w:hAnsi="Lato Light" w:cstheme="majorHAnsi"/>
        </w:rPr>
      </w:pPr>
    </w:p>
    <w:tbl>
      <w:tblPr>
        <w:tblStyle w:val="TableGrid"/>
        <w:tblW w:w="6210" w:type="dxa"/>
        <w:jc w:val="center"/>
        <w:tblLook w:val="04A0" w:firstRow="1" w:lastRow="0" w:firstColumn="1" w:lastColumn="0" w:noHBand="0" w:noVBand="1"/>
      </w:tblPr>
      <w:tblGrid>
        <w:gridCol w:w="6210"/>
      </w:tblGrid>
      <w:tr w:rsidR="00266EF3" w14:paraId="2E1F0534" w14:textId="77777777" w:rsidTr="009F51CE">
        <w:trPr>
          <w:jc w:val="center"/>
        </w:trPr>
        <w:tc>
          <w:tcPr>
            <w:tcW w:w="6210" w:type="dxa"/>
            <w:shd w:val="clear" w:color="auto" w:fill="F2F2F2" w:themeFill="background1" w:themeFillShade="F2"/>
          </w:tcPr>
          <w:p w14:paraId="7CA96C7C" w14:textId="7D310A3A" w:rsidR="00266EF3" w:rsidRPr="008C4703" w:rsidRDefault="00266EF3" w:rsidP="009F51CE">
            <w:pPr>
              <w:jc w:val="center"/>
              <w:rPr>
                <w:rFonts w:ascii="Lato Light" w:hAnsi="Lato Light" w:cstheme="majorHAnsi"/>
                <w:b/>
                <w:bCs/>
              </w:rPr>
            </w:pPr>
            <w:r w:rsidRPr="008C4703">
              <w:rPr>
                <w:rFonts w:ascii="Lato Light" w:hAnsi="Lato Light" w:cstheme="majorHAnsi"/>
                <w:b/>
                <w:bCs/>
              </w:rPr>
              <w:t xml:space="preserve">Highly </w:t>
            </w:r>
            <w:r w:rsidR="009F51CE">
              <w:rPr>
                <w:rFonts w:ascii="Lato Light" w:hAnsi="Lato Light" w:cstheme="majorHAnsi"/>
                <w:b/>
                <w:bCs/>
              </w:rPr>
              <w:t>C</w:t>
            </w:r>
            <w:r w:rsidRPr="008C4703">
              <w:rPr>
                <w:rFonts w:ascii="Lato Light" w:hAnsi="Lato Light" w:cstheme="majorHAnsi"/>
                <w:b/>
                <w:bCs/>
              </w:rPr>
              <w:t xml:space="preserve">ompensated </w:t>
            </w:r>
            <w:r w:rsidR="009F51CE">
              <w:rPr>
                <w:rFonts w:ascii="Lato Light" w:hAnsi="Lato Light" w:cstheme="majorHAnsi"/>
                <w:b/>
                <w:bCs/>
              </w:rPr>
              <w:t>E</w:t>
            </w:r>
            <w:r w:rsidR="00421F0C">
              <w:rPr>
                <w:rFonts w:ascii="Lato Light" w:hAnsi="Lato Light" w:cstheme="majorHAnsi"/>
                <w:b/>
                <w:bCs/>
              </w:rPr>
              <w:t>mployees</w:t>
            </w:r>
          </w:p>
        </w:tc>
      </w:tr>
      <w:tr w:rsidR="00266EF3" w14:paraId="7D691641" w14:textId="77777777" w:rsidTr="009F51CE">
        <w:trPr>
          <w:jc w:val="center"/>
        </w:trPr>
        <w:tc>
          <w:tcPr>
            <w:tcW w:w="6210" w:type="dxa"/>
          </w:tcPr>
          <w:p w14:paraId="1E86C768" w14:textId="318158CA" w:rsidR="00E64147" w:rsidRDefault="00E64147" w:rsidP="00745EE1">
            <w:pPr>
              <w:rPr>
                <w:rFonts w:ascii="Lato Light" w:hAnsi="Lato Light" w:cstheme="majorHAnsi"/>
              </w:rPr>
            </w:pPr>
            <w:r>
              <w:rPr>
                <w:rFonts w:ascii="Lato Light" w:hAnsi="Lato Light" w:cstheme="majorHAnsi"/>
              </w:rPr>
              <w:t>Compensation exceeded $15</w:t>
            </w:r>
            <w:r w:rsidR="007520EB">
              <w:rPr>
                <w:rFonts w:ascii="Lato Light" w:hAnsi="Lato Light" w:cstheme="majorHAnsi"/>
              </w:rPr>
              <w:t>5</w:t>
            </w:r>
            <w:r>
              <w:rPr>
                <w:rFonts w:ascii="Lato Light" w:hAnsi="Lato Light" w:cstheme="majorHAnsi"/>
              </w:rPr>
              <w:t xml:space="preserve">,000 in 2023 </w:t>
            </w:r>
            <w:r w:rsidR="009671FC">
              <w:rPr>
                <w:rFonts w:ascii="Lato Light" w:hAnsi="Lato Light" w:cstheme="majorHAnsi"/>
              </w:rPr>
              <w:t xml:space="preserve">for </w:t>
            </w:r>
            <w:r>
              <w:rPr>
                <w:rFonts w:ascii="Lato Light" w:hAnsi="Lato Light" w:cstheme="majorHAnsi"/>
              </w:rPr>
              <w:t>2024</w:t>
            </w:r>
            <w:r w:rsidR="009671FC">
              <w:rPr>
                <w:rFonts w:ascii="Lato Light" w:hAnsi="Lato Light" w:cstheme="majorHAnsi"/>
              </w:rPr>
              <w:t xml:space="preserve"> NDT</w:t>
            </w:r>
          </w:p>
          <w:p w14:paraId="771772A8" w14:textId="616A5F36" w:rsidR="00266EF3" w:rsidRPr="009F51CE" w:rsidRDefault="00E64147" w:rsidP="009F51CE">
            <w:pPr>
              <w:rPr>
                <w:rFonts w:ascii="Lato Light" w:hAnsi="Lato Light" w:cstheme="majorHAnsi"/>
                <w:i/>
                <w:iCs/>
              </w:rPr>
            </w:pPr>
            <w:r w:rsidRPr="009F51CE">
              <w:rPr>
                <w:rFonts w:ascii="Lato Light" w:hAnsi="Lato Light" w:cstheme="majorHAnsi"/>
                <w:i/>
                <w:iCs/>
              </w:rPr>
              <w:t>&gt;$1</w:t>
            </w:r>
            <w:r w:rsidR="007520EB" w:rsidRPr="009F51CE">
              <w:rPr>
                <w:rFonts w:ascii="Lato Light" w:hAnsi="Lato Light" w:cstheme="majorHAnsi"/>
                <w:i/>
                <w:iCs/>
              </w:rPr>
              <w:t>60</w:t>
            </w:r>
            <w:r w:rsidRPr="009F51CE">
              <w:rPr>
                <w:rFonts w:ascii="Lato Light" w:hAnsi="Lato Light" w:cstheme="majorHAnsi"/>
                <w:i/>
                <w:iCs/>
              </w:rPr>
              <w:t>,000 in 2024</w:t>
            </w:r>
            <w:r w:rsidR="007520EB" w:rsidRPr="009F51CE">
              <w:rPr>
                <w:rFonts w:ascii="Lato Light" w:hAnsi="Lato Light" w:cstheme="majorHAnsi"/>
                <w:i/>
                <w:iCs/>
              </w:rPr>
              <w:t xml:space="preserve"> </w:t>
            </w:r>
            <w:r w:rsidRPr="009F51CE">
              <w:rPr>
                <w:rFonts w:ascii="Lato Light" w:hAnsi="Lato Light" w:cstheme="majorHAnsi"/>
                <w:i/>
                <w:iCs/>
              </w:rPr>
              <w:t xml:space="preserve">for 2025 </w:t>
            </w:r>
            <w:r w:rsidR="007520EB" w:rsidRPr="009F51CE">
              <w:rPr>
                <w:rFonts w:ascii="Lato Light" w:hAnsi="Lato Light" w:cstheme="majorHAnsi"/>
                <w:i/>
                <w:iCs/>
              </w:rPr>
              <w:t>NDT</w:t>
            </w:r>
          </w:p>
        </w:tc>
      </w:tr>
      <w:tr w:rsidR="00266EF3" w14:paraId="438EE02A" w14:textId="77777777" w:rsidTr="009F51CE">
        <w:trPr>
          <w:jc w:val="center"/>
        </w:trPr>
        <w:tc>
          <w:tcPr>
            <w:tcW w:w="6210" w:type="dxa"/>
          </w:tcPr>
          <w:p w14:paraId="4387A7CF" w14:textId="48D3774E" w:rsidR="00266EF3" w:rsidRDefault="00266EF3" w:rsidP="00745EE1">
            <w:pPr>
              <w:rPr>
                <w:rFonts w:ascii="Lato Light" w:hAnsi="Lato Light" w:cstheme="majorHAnsi"/>
              </w:rPr>
            </w:pPr>
            <w:r w:rsidRPr="008C4703">
              <w:rPr>
                <w:rFonts w:ascii="Lato Light" w:hAnsi="Lato Light" w:cstheme="majorHAnsi"/>
              </w:rPr>
              <w:t>More-than-</w:t>
            </w:r>
            <w:r w:rsidR="00E64147">
              <w:rPr>
                <w:rFonts w:ascii="Lato Light" w:hAnsi="Lato Light" w:cstheme="majorHAnsi"/>
              </w:rPr>
              <w:t>5</w:t>
            </w:r>
            <w:r w:rsidRPr="008C4703">
              <w:rPr>
                <w:rFonts w:ascii="Lato Light" w:hAnsi="Lato Light" w:cstheme="majorHAnsi"/>
              </w:rPr>
              <w:t xml:space="preserve">% </w:t>
            </w:r>
            <w:r w:rsidR="00E64147">
              <w:rPr>
                <w:rFonts w:ascii="Lato Light" w:hAnsi="Lato Light" w:cstheme="majorHAnsi"/>
              </w:rPr>
              <w:t>own</w:t>
            </w:r>
            <w:r w:rsidRPr="008C4703">
              <w:rPr>
                <w:rFonts w:ascii="Lato Light" w:hAnsi="Lato Light" w:cstheme="majorHAnsi"/>
              </w:rPr>
              <w:t xml:space="preserve">ers in the current </w:t>
            </w:r>
            <w:r w:rsidR="00E64147">
              <w:rPr>
                <w:rFonts w:ascii="Lato Light" w:hAnsi="Lato Light" w:cstheme="majorHAnsi"/>
              </w:rPr>
              <w:t xml:space="preserve">or preceding </w:t>
            </w:r>
            <w:r w:rsidRPr="008C4703">
              <w:rPr>
                <w:rFonts w:ascii="Lato Light" w:hAnsi="Lato Light" w:cstheme="majorHAnsi"/>
              </w:rPr>
              <w:t>year</w:t>
            </w:r>
          </w:p>
        </w:tc>
      </w:tr>
      <w:tr w:rsidR="00266EF3" w14:paraId="46588979" w14:textId="77777777" w:rsidTr="009F51CE">
        <w:trPr>
          <w:jc w:val="center"/>
        </w:trPr>
        <w:tc>
          <w:tcPr>
            <w:tcW w:w="6210" w:type="dxa"/>
          </w:tcPr>
          <w:p w14:paraId="5B3A888B" w14:textId="194DEDF1" w:rsidR="00266EF3" w:rsidRPr="00266EF3" w:rsidRDefault="00360F22" w:rsidP="00266EF3">
            <w:pPr>
              <w:rPr>
                <w:rFonts w:ascii="Lato Light" w:hAnsi="Lato Light" w:cstheme="majorHAnsi"/>
              </w:rPr>
            </w:pPr>
            <w:r>
              <w:rPr>
                <w:rFonts w:ascii="Lato Light" w:hAnsi="Lato Light" w:cstheme="majorHAnsi"/>
              </w:rPr>
              <w:t>Also</w:t>
            </w:r>
            <w:r w:rsidR="00E64147">
              <w:rPr>
                <w:rFonts w:ascii="Lato Light" w:hAnsi="Lato Light" w:cstheme="majorHAnsi"/>
              </w:rPr>
              <w:t xml:space="preserve"> include</w:t>
            </w:r>
            <w:r>
              <w:rPr>
                <w:rFonts w:ascii="Lato Light" w:hAnsi="Lato Light" w:cstheme="majorHAnsi"/>
              </w:rPr>
              <w:t>s</w:t>
            </w:r>
            <w:r w:rsidR="00E64147">
              <w:rPr>
                <w:rFonts w:ascii="Lato Light" w:hAnsi="Lato Light" w:cstheme="majorHAnsi"/>
              </w:rPr>
              <w:t xml:space="preserve"> </w:t>
            </w:r>
            <w:r w:rsidR="009671FC">
              <w:rPr>
                <w:rFonts w:ascii="Lato Light" w:hAnsi="Lato Light" w:cstheme="majorHAnsi"/>
              </w:rPr>
              <w:t xml:space="preserve">spouses and </w:t>
            </w:r>
            <w:r w:rsidR="00E64147">
              <w:rPr>
                <w:rFonts w:ascii="Lato Light" w:hAnsi="Lato Light" w:cstheme="majorHAnsi"/>
              </w:rPr>
              <w:t xml:space="preserve">dependents of </w:t>
            </w:r>
            <w:r w:rsidR="009F51CE">
              <w:rPr>
                <w:rFonts w:ascii="Lato Light" w:hAnsi="Lato Light" w:cstheme="majorHAnsi"/>
              </w:rPr>
              <w:t>HCEs noted</w:t>
            </w:r>
          </w:p>
        </w:tc>
      </w:tr>
    </w:tbl>
    <w:p w14:paraId="1C2B4C26" w14:textId="77777777" w:rsidR="00CE1943" w:rsidRDefault="00CE1943" w:rsidP="00745EE1">
      <w:pPr>
        <w:spacing w:line="240" w:lineRule="auto"/>
        <w:rPr>
          <w:rFonts w:ascii="Lato Light" w:hAnsi="Lato Light" w:cstheme="majorHAnsi"/>
          <w:i/>
          <w:iCs/>
        </w:rPr>
      </w:pPr>
    </w:p>
    <w:p w14:paraId="574C49D8" w14:textId="771D82E8" w:rsidR="008C4703" w:rsidRDefault="008C4703" w:rsidP="00745EE1">
      <w:pPr>
        <w:spacing w:line="240" w:lineRule="auto"/>
        <w:rPr>
          <w:rFonts w:ascii="Lato Light" w:hAnsi="Lato Light" w:cstheme="majorHAnsi"/>
        </w:rPr>
      </w:pPr>
      <w:r>
        <w:rPr>
          <w:rFonts w:ascii="Lato Light" w:hAnsi="Lato Light" w:cstheme="majorHAnsi"/>
        </w:rPr>
        <w:t>P</w:t>
      </w:r>
      <w:r w:rsidRPr="008C4703">
        <w:rPr>
          <w:rFonts w:ascii="Lato Light" w:hAnsi="Lato Light" w:cstheme="majorHAnsi"/>
        </w:rPr>
        <w:t xml:space="preserve">ass-through entity </w:t>
      </w:r>
      <w:r w:rsidR="009671FC">
        <w:rPr>
          <w:rFonts w:ascii="Lato Light" w:hAnsi="Lato Light" w:cstheme="majorHAnsi"/>
        </w:rPr>
        <w:t xml:space="preserve">K-1 </w:t>
      </w:r>
      <w:r w:rsidRPr="008C4703">
        <w:rPr>
          <w:rFonts w:ascii="Lato Light" w:hAnsi="Lato Light" w:cstheme="majorHAnsi"/>
        </w:rPr>
        <w:t xml:space="preserve">owners are </w:t>
      </w:r>
      <w:r w:rsidR="009671FC">
        <w:rPr>
          <w:rFonts w:ascii="Lato Light" w:hAnsi="Lato Light" w:cstheme="majorHAnsi"/>
        </w:rPr>
        <w:t xml:space="preserve">typically </w:t>
      </w:r>
      <w:r w:rsidRPr="008C4703">
        <w:rPr>
          <w:rFonts w:ascii="Lato Light" w:hAnsi="Lato Light" w:cstheme="majorHAnsi"/>
        </w:rPr>
        <w:t xml:space="preserve">not able to participate in </w:t>
      </w:r>
      <w:r w:rsidR="00266EF3">
        <w:rPr>
          <w:rFonts w:ascii="Lato Light" w:hAnsi="Lato Light" w:cstheme="majorHAnsi"/>
        </w:rPr>
        <w:t xml:space="preserve">pre-tax </w:t>
      </w:r>
      <w:r w:rsidR="00360F22">
        <w:rPr>
          <w:rFonts w:ascii="Lato Light" w:hAnsi="Lato Light" w:cstheme="majorHAnsi"/>
        </w:rPr>
        <w:t xml:space="preserve">dependent daycare </w:t>
      </w:r>
      <w:r w:rsidR="00266EF3">
        <w:rPr>
          <w:rFonts w:ascii="Lato Light" w:hAnsi="Lato Light" w:cstheme="majorHAnsi"/>
        </w:rPr>
        <w:t>FSAs</w:t>
      </w:r>
      <w:r w:rsidRPr="008C4703">
        <w:rPr>
          <w:rFonts w:ascii="Lato Light" w:hAnsi="Lato Light" w:cstheme="majorHAnsi"/>
        </w:rPr>
        <w:t xml:space="preserve">, so they are </w:t>
      </w:r>
      <w:r w:rsidR="009671FC">
        <w:rPr>
          <w:rFonts w:ascii="Lato Light" w:hAnsi="Lato Light" w:cstheme="majorHAnsi"/>
        </w:rPr>
        <w:t>generally not part of this testing</w:t>
      </w:r>
      <w:r w:rsidRPr="008C4703">
        <w:rPr>
          <w:rFonts w:ascii="Lato Light" w:hAnsi="Lato Light" w:cstheme="majorHAnsi"/>
        </w:rPr>
        <w:t>.</w:t>
      </w:r>
    </w:p>
    <w:p w14:paraId="6B4C3103" w14:textId="77777777" w:rsidR="00466B2B" w:rsidRPr="008C4703" w:rsidRDefault="00466B2B" w:rsidP="00745EE1">
      <w:pPr>
        <w:spacing w:line="240" w:lineRule="auto"/>
        <w:rPr>
          <w:rFonts w:ascii="Lato Light" w:hAnsi="Lato Light" w:cstheme="majorHAnsi"/>
        </w:rPr>
      </w:pPr>
    </w:p>
    <w:p w14:paraId="7B6510B1" w14:textId="769C1601" w:rsidR="007268CF" w:rsidRPr="007268CF" w:rsidRDefault="00CD797C" w:rsidP="00745EE1">
      <w:pPr>
        <w:spacing w:line="240" w:lineRule="auto"/>
        <w:rPr>
          <w:rFonts w:ascii="Lato Light" w:hAnsi="Lato Light" w:cstheme="majorHAnsi"/>
          <w:i/>
          <w:iCs/>
        </w:rPr>
      </w:pPr>
      <w:r>
        <w:rPr>
          <w:rFonts w:ascii="Lato Light" w:hAnsi="Lato Light" w:cstheme="majorHAnsi"/>
          <w:i/>
          <w:iCs/>
        </w:rPr>
        <w:t xml:space="preserve">1. </w:t>
      </w:r>
      <w:r w:rsidR="0062294B" w:rsidRPr="007268CF">
        <w:rPr>
          <w:rFonts w:ascii="Lato Light" w:hAnsi="Lato Light" w:cstheme="majorHAnsi"/>
          <w:i/>
          <w:iCs/>
        </w:rPr>
        <w:t>Eligibility Tes</w:t>
      </w:r>
      <w:r w:rsidR="007268CF">
        <w:rPr>
          <w:rFonts w:ascii="Lato Light" w:hAnsi="Lato Light" w:cstheme="majorHAnsi"/>
          <w:i/>
          <w:iCs/>
        </w:rPr>
        <w:t>t</w:t>
      </w:r>
    </w:p>
    <w:p w14:paraId="4B57C972" w14:textId="77777777" w:rsidR="00CD797C" w:rsidRDefault="00CD797C" w:rsidP="00745EE1">
      <w:pPr>
        <w:spacing w:line="240" w:lineRule="auto"/>
        <w:rPr>
          <w:rFonts w:ascii="Lato Light" w:hAnsi="Lato Light" w:cstheme="majorHAnsi"/>
        </w:rPr>
      </w:pPr>
    </w:p>
    <w:p w14:paraId="455F58B5" w14:textId="1D603C66" w:rsidR="00266EF3" w:rsidRPr="00266EF3" w:rsidRDefault="007268CF" w:rsidP="00360F22">
      <w:pPr>
        <w:spacing w:line="240" w:lineRule="auto"/>
        <w:rPr>
          <w:rFonts w:ascii="Lato Light" w:hAnsi="Lato Light" w:cstheme="majorHAnsi"/>
        </w:rPr>
      </w:pPr>
      <w:r>
        <w:rPr>
          <w:rFonts w:ascii="Lato Light" w:hAnsi="Lato Light" w:cstheme="majorHAnsi"/>
        </w:rPr>
        <w:t xml:space="preserve">The first test </w:t>
      </w:r>
      <w:r w:rsidR="0062294B">
        <w:rPr>
          <w:rFonts w:ascii="Lato Light" w:hAnsi="Lato Light" w:cstheme="majorHAnsi"/>
        </w:rPr>
        <w:t>needs to show that enough non-</w:t>
      </w:r>
      <w:r>
        <w:rPr>
          <w:rFonts w:ascii="Lato Light" w:hAnsi="Lato Light" w:cstheme="majorHAnsi"/>
        </w:rPr>
        <w:t>HC</w:t>
      </w:r>
      <w:r w:rsidR="00360F22">
        <w:rPr>
          <w:rFonts w:ascii="Lato Light" w:hAnsi="Lato Light" w:cstheme="majorHAnsi"/>
        </w:rPr>
        <w:t>E</w:t>
      </w:r>
      <w:r>
        <w:rPr>
          <w:rFonts w:ascii="Lato Light" w:hAnsi="Lato Light" w:cstheme="majorHAnsi"/>
        </w:rPr>
        <w:t>s</w:t>
      </w:r>
      <w:r w:rsidR="0062294B">
        <w:rPr>
          <w:rFonts w:ascii="Lato Light" w:hAnsi="Lato Light" w:cstheme="majorHAnsi"/>
        </w:rPr>
        <w:t xml:space="preserve"> are eligible to </w:t>
      </w:r>
      <w:r w:rsidR="00266EF3">
        <w:rPr>
          <w:rFonts w:ascii="Lato Light" w:hAnsi="Lato Light" w:cstheme="majorHAnsi"/>
        </w:rPr>
        <w:t>participate</w:t>
      </w:r>
      <w:r w:rsidR="0062294B">
        <w:rPr>
          <w:rFonts w:ascii="Lato Light" w:hAnsi="Lato Light" w:cstheme="majorHAnsi"/>
        </w:rPr>
        <w:t>.</w:t>
      </w:r>
      <w:r>
        <w:rPr>
          <w:rFonts w:ascii="Lato Light" w:hAnsi="Lato Light" w:cstheme="majorHAnsi"/>
        </w:rPr>
        <w:t xml:space="preserve">  </w:t>
      </w:r>
      <w:r w:rsidR="00360F22">
        <w:rPr>
          <w:rFonts w:ascii="Lato Light" w:hAnsi="Lato Light" w:cstheme="majorHAnsi"/>
        </w:rPr>
        <w:t>If employees who have not attained age 21 are not eligible, and/or employees who have not completed at least one year of service are not eligible, then they can be excluded from the testing respectively</w:t>
      </w:r>
      <w:r w:rsidR="00266EF3">
        <w:rPr>
          <w:rFonts w:ascii="Lato Light" w:hAnsi="Lato Light" w:cstheme="majorHAnsi"/>
        </w:rPr>
        <w:t>.</w:t>
      </w:r>
    </w:p>
    <w:p w14:paraId="23BAB6A1" w14:textId="77777777" w:rsidR="007268CF" w:rsidRDefault="007268CF" w:rsidP="00745EE1">
      <w:pPr>
        <w:spacing w:line="240" w:lineRule="auto"/>
        <w:rPr>
          <w:rFonts w:ascii="Lato Light" w:hAnsi="Lato Light" w:cstheme="majorHAnsi"/>
        </w:rPr>
      </w:pPr>
    </w:p>
    <w:p w14:paraId="23534EA4" w14:textId="77777777" w:rsidR="009F51CE" w:rsidRDefault="009F51CE" w:rsidP="00745EE1">
      <w:pPr>
        <w:spacing w:line="240" w:lineRule="auto"/>
        <w:rPr>
          <w:rFonts w:ascii="Lato Light" w:hAnsi="Lato Light" w:cstheme="majorHAnsi"/>
        </w:rPr>
      </w:pPr>
    </w:p>
    <w:p w14:paraId="02606560" w14:textId="64942B70" w:rsidR="007268CF" w:rsidRDefault="007268CF" w:rsidP="00745EE1">
      <w:pPr>
        <w:spacing w:line="240" w:lineRule="auto"/>
        <w:rPr>
          <w:rFonts w:ascii="Lato Light" w:hAnsi="Lato Light" w:cstheme="majorHAnsi"/>
        </w:rPr>
      </w:pPr>
      <w:r w:rsidRPr="007268CF">
        <w:rPr>
          <w:rFonts w:ascii="Lato Light" w:hAnsi="Lato Light" w:cstheme="majorHAnsi"/>
        </w:rPr>
        <w:lastRenderedPageBreak/>
        <w:t>The</w:t>
      </w:r>
      <w:r w:rsidR="00266EF3">
        <w:rPr>
          <w:rFonts w:ascii="Lato Light" w:hAnsi="Lato Light" w:cstheme="majorHAnsi"/>
        </w:rPr>
        <w:t xml:space="preserve"> plan needs to satisfy </w:t>
      </w:r>
      <w:r w:rsidR="00360F22">
        <w:rPr>
          <w:rFonts w:ascii="Lato Light" w:hAnsi="Lato Light" w:cstheme="majorHAnsi"/>
        </w:rPr>
        <w:t>two</w:t>
      </w:r>
      <w:r w:rsidR="00266EF3">
        <w:rPr>
          <w:rFonts w:ascii="Lato Light" w:hAnsi="Lato Light" w:cstheme="majorHAnsi"/>
        </w:rPr>
        <w:t xml:space="preserve"> eligibility test</w:t>
      </w:r>
      <w:r w:rsidR="00360F22">
        <w:rPr>
          <w:rFonts w:ascii="Lato Light" w:hAnsi="Lato Light" w:cstheme="majorHAnsi"/>
        </w:rPr>
        <w:t>s</w:t>
      </w:r>
      <w:r w:rsidRPr="007268CF">
        <w:rPr>
          <w:rFonts w:ascii="Lato Light" w:hAnsi="Lato Light" w:cstheme="majorHAnsi"/>
        </w:rPr>
        <w:t xml:space="preserve">: </w:t>
      </w:r>
    </w:p>
    <w:p w14:paraId="6EA34E75" w14:textId="77777777" w:rsidR="00027EF7" w:rsidRDefault="00027EF7" w:rsidP="00745EE1">
      <w:pPr>
        <w:spacing w:line="240" w:lineRule="auto"/>
        <w:rPr>
          <w:rFonts w:ascii="Lato Light" w:hAnsi="Lato Light" w:cstheme="majorHAnsi"/>
        </w:rPr>
      </w:pPr>
    </w:p>
    <w:p w14:paraId="146C3A79" w14:textId="7F0658A8" w:rsidR="007268CF" w:rsidRDefault="008C4703" w:rsidP="00360F22">
      <w:pPr>
        <w:pStyle w:val="ListParagraph"/>
        <w:numPr>
          <w:ilvl w:val="0"/>
          <w:numId w:val="14"/>
        </w:numPr>
        <w:spacing w:line="240" w:lineRule="auto"/>
        <w:rPr>
          <w:rFonts w:ascii="Lato Light" w:hAnsi="Lato Light" w:cstheme="majorHAnsi"/>
        </w:rPr>
      </w:pPr>
      <w:r>
        <w:rPr>
          <w:rFonts w:ascii="Lato Light" w:hAnsi="Lato Light" w:cstheme="majorHAnsi"/>
        </w:rPr>
        <w:t>A</w:t>
      </w:r>
      <w:r w:rsidR="007268CF" w:rsidRPr="007268CF">
        <w:rPr>
          <w:rFonts w:ascii="Lato Light" w:hAnsi="Lato Light" w:cstheme="majorHAnsi"/>
        </w:rPr>
        <w:t xml:space="preserve"> bona fide business classification for </w:t>
      </w:r>
      <w:r w:rsidR="00266EF3">
        <w:rPr>
          <w:rFonts w:ascii="Lato Light" w:hAnsi="Lato Light" w:cstheme="majorHAnsi"/>
        </w:rPr>
        <w:t>any exclusion</w:t>
      </w:r>
      <w:r w:rsidR="007268CF" w:rsidRPr="007268CF">
        <w:rPr>
          <w:rFonts w:ascii="Lato Light" w:hAnsi="Lato Light" w:cstheme="majorHAnsi"/>
        </w:rPr>
        <w:t>; and</w:t>
      </w:r>
    </w:p>
    <w:p w14:paraId="5F3791B5" w14:textId="65D44D1C" w:rsidR="007268CF" w:rsidRPr="007268CF" w:rsidRDefault="008C4703" w:rsidP="00360F22">
      <w:pPr>
        <w:pStyle w:val="ListParagraph"/>
        <w:numPr>
          <w:ilvl w:val="0"/>
          <w:numId w:val="14"/>
        </w:numPr>
        <w:spacing w:line="240" w:lineRule="auto"/>
        <w:rPr>
          <w:rFonts w:ascii="Lato Light" w:hAnsi="Lato Light" w:cstheme="majorHAnsi"/>
        </w:rPr>
      </w:pPr>
      <w:r>
        <w:rPr>
          <w:rFonts w:ascii="Lato Light" w:hAnsi="Lato Light" w:cstheme="majorHAnsi"/>
        </w:rPr>
        <w:t>A</w:t>
      </w:r>
      <w:r w:rsidR="007268CF" w:rsidRPr="007268CF">
        <w:rPr>
          <w:rFonts w:ascii="Lato Light" w:hAnsi="Lato Light" w:cstheme="majorHAnsi"/>
        </w:rPr>
        <w:t xml:space="preserve"> sufficient ratio of </w:t>
      </w:r>
      <w:r w:rsidR="00360F22">
        <w:rPr>
          <w:rFonts w:ascii="Lato Light" w:hAnsi="Lato Light" w:cstheme="majorHAnsi"/>
        </w:rPr>
        <w:t xml:space="preserve">eligible </w:t>
      </w:r>
      <w:r w:rsidR="007268CF" w:rsidRPr="007268CF">
        <w:rPr>
          <w:rFonts w:ascii="Lato Light" w:hAnsi="Lato Light" w:cstheme="majorHAnsi"/>
        </w:rPr>
        <w:t>non-HC</w:t>
      </w:r>
      <w:r w:rsidR="009671FC">
        <w:rPr>
          <w:rFonts w:ascii="Lato Light" w:hAnsi="Lato Light" w:cstheme="majorHAnsi"/>
        </w:rPr>
        <w:t>E</w:t>
      </w:r>
      <w:r w:rsidR="007268CF" w:rsidRPr="007268CF">
        <w:rPr>
          <w:rFonts w:ascii="Lato Light" w:hAnsi="Lato Light" w:cstheme="majorHAnsi"/>
        </w:rPr>
        <w:t xml:space="preserve">s to </w:t>
      </w:r>
      <w:r w:rsidR="00360F22">
        <w:rPr>
          <w:rFonts w:ascii="Lato Light" w:hAnsi="Lato Light" w:cstheme="majorHAnsi"/>
        </w:rPr>
        <w:t>eligible</w:t>
      </w:r>
      <w:r w:rsidR="00266EF3">
        <w:rPr>
          <w:rFonts w:ascii="Lato Light" w:hAnsi="Lato Light" w:cstheme="majorHAnsi"/>
        </w:rPr>
        <w:t xml:space="preserve"> </w:t>
      </w:r>
      <w:r w:rsidR="007268CF" w:rsidRPr="007268CF">
        <w:rPr>
          <w:rFonts w:ascii="Lato Light" w:hAnsi="Lato Light" w:cstheme="majorHAnsi"/>
        </w:rPr>
        <w:t>HC</w:t>
      </w:r>
      <w:r w:rsidR="009671FC">
        <w:rPr>
          <w:rFonts w:ascii="Lato Light" w:hAnsi="Lato Light" w:cstheme="majorHAnsi"/>
        </w:rPr>
        <w:t>E</w:t>
      </w:r>
      <w:r w:rsidR="007268CF" w:rsidRPr="007268CF">
        <w:rPr>
          <w:rFonts w:ascii="Lato Light" w:hAnsi="Lato Light" w:cstheme="majorHAnsi"/>
        </w:rPr>
        <w:t>s (a numeric test).</w:t>
      </w:r>
    </w:p>
    <w:p w14:paraId="4E990C2C" w14:textId="77777777" w:rsidR="007268CF" w:rsidRDefault="007268CF" w:rsidP="00745EE1">
      <w:pPr>
        <w:spacing w:line="240" w:lineRule="auto"/>
        <w:rPr>
          <w:rFonts w:ascii="Lato Light" w:hAnsi="Lato Light" w:cstheme="majorHAnsi"/>
        </w:rPr>
      </w:pPr>
    </w:p>
    <w:p w14:paraId="6FA655FF" w14:textId="76D57951" w:rsidR="001F423C" w:rsidRPr="004D6B36" w:rsidRDefault="00CD797C" w:rsidP="00745EE1">
      <w:pPr>
        <w:spacing w:line="240" w:lineRule="auto"/>
        <w:rPr>
          <w:rFonts w:ascii="Lato Light" w:hAnsi="Lato Light" w:cstheme="majorHAnsi"/>
          <w:i/>
          <w:iCs/>
        </w:rPr>
      </w:pPr>
      <w:r>
        <w:rPr>
          <w:rFonts w:ascii="Lato Light" w:hAnsi="Lato Light" w:cstheme="majorHAnsi"/>
          <w:i/>
          <w:iCs/>
        </w:rPr>
        <w:t xml:space="preserve">2. </w:t>
      </w:r>
      <w:r w:rsidR="00360F22">
        <w:rPr>
          <w:rFonts w:ascii="Lato Light" w:hAnsi="Lato Light" w:cstheme="majorHAnsi"/>
          <w:i/>
          <w:iCs/>
        </w:rPr>
        <w:t xml:space="preserve">Contributions and </w:t>
      </w:r>
      <w:r w:rsidR="004D6B36" w:rsidRPr="004D6B36">
        <w:rPr>
          <w:rFonts w:ascii="Lato Light" w:hAnsi="Lato Light" w:cstheme="majorHAnsi"/>
          <w:i/>
          <w:iCs/>
        </w:rPr>
        <w:t>Benefits</w:t>
      </w:r>
      <w:r w:rsidR="00360F22">
        <w:rPr>
          <w:rFonts w:ascii="Lato Light" w:hAnsi="Lato Light" w:cstheme="majorHAnsi"/>
          <w:i/>
          <w:iCs/>
        </w:rPr>
        <w:t xml:space="preserve"> (C&amp;B)</w:t>
      </w:r>
      <w:r w:rsidR="004D6B36" w:rsidRPr="004D6B36">
        <w:rPr>
          <w:rFonts w:ascii="Lato Light" w:hAnsi="Lato Light" w:cstheme="majorHAnsi"/>
          <w:i/>
          <w:iCs/>
        </w:rPr>
        <w:t xml:space="preserve"> Test</w:t>
      </w:r>
    </w:p>
    <w:p w14:paraId="54528C5F" w14:textId="77777777" w:rsidR="00BA73C2" w:rsidRPr="004D6B36" w:rsidRDefault="00BA73C2" w:rsidP="00745EE1">
      <w:pPr>
        <w:spacing w:line="240" w:lineRule="auto"/>
        <w:rPr>
          <w:rFonts w:ascii="Lato Light" w:hAnsi="Lato Light" w:cstheme="majorHAnsi"/>
        </w:rPr>
      </w:pPr>
    </w:p>
    <w:p w14:paraId="66AAB505" w14:textId="12EDCE3D" w:rsidR="00266EF3" w:rsidRPr="00360F22" w:rsidRDefault="00360F22" w:rsidP="00360F22">
      <w:pPr>
        <w:spacing w:line="240" w:lineRule="auto"/>
        <w:rPr>
          <w:rFonts w:ascii="Lato Light" w:hAnsi="Lato Light" w:cstheme="majorHAnsi"/>
        </w:rPr>
      </w:pPr>
      <w:r>
        <w:rPr>
          <w:rFonts w:ascii="Lato Light" w:hAnsi="Lato Light" w:cstheme="majorHAnsi"/>
        </w:rPr>
        <w:t>This is a facts and circumstances test</w:t>
      </w:r>
      <w:r w:rsidR="00266EF3">
        <w:rPr>
          <w:rFonts w:ascii="Lato Light" w:hAnsi="Lato Light" w:cstheme="majorHAnsi"/>
        </w:rPr>
        <w:t>.</w:t>
      </w:r>
      <w:r>
        <w:rPr>
          <w:rFonts w:ascii="Lato Light" w:hAnsi="Lato Light" w:cstheme="majorHAnsi"/>
        </w:rPr>
        <w:t xml:space="preserve">  HCEs cannot be eligible for more dependent daycare benefits than non-HCEs, and cannot be eligible for more employer contributions toward dependent daycare benefits than non-HCEs.  This is looking for discrimination on its face, not a numeric utilization test.</w:t>
      </w:r>
    </w:p>
    <w:p w14:paraId="15A6FC64" w14:textId="77777777" w:rsidR="00266EF3" w:rsidRDefault="00266EF3" w:rsidP="00266EF3">
      <w:pPr>
        <w:spacing w:line="240" w:lineRule="auto"/>
        <w:rPr>
          <w:rFonts w:ascii="Lato Light" w:hAnsi="Lato Light" w:cstheme="majorHAnsi"/>
        </w:rPr>
      </w:pPr>
    </w:p>
    <w:p w14:paraId="52B67643" w14:textId="024CF0BC" w:rsidR="00360F22" w:rsidRPr="00360F22" w:rsidRDefault="00360F22" w:rsidP="00266EF3">
      <w:pPr>
        <w:spacing w:line="240" w:lineRule="auto"/>
        <w:rPr>
          <w:rFonts w:ascii="Lato Light" w:hAnsi="Lato Light" w:cstheme="majorHAnsi"/>
          <w:i/>
          <w:iCs/>
        </w:rPr>
      </w:pPr>
      <w:r w:rsidRPr="00360F22">
        <w:rPr>
          <w:rFonts w:ascii="Lato Light" w:hAnsi="Lato Light" w:cstheme="majorHAnsi"/>
          <w:i/>
          <w:iCs/>
        </w:rPr>
        <w:t>3. More-than-5% Owners Concentration Test</w:t>
      </w:r>
    </w:p>
    <w:p w14:paraId="37E95742" w14:textId="77777777" w:rsidR="00360F22" w:rsidRDefault="00360F22" w:rsidP="00266EF3">
      <w:pPr>
        <w:spacing w:line="240" w:lineRule="auto"/>
        <w:rPr>
          <w:rFonts w:ascii="Lato Light" w:hAnsi="Lato Light" w:cstheme="majorHAnsi"/>
        </w:rPr>
      </w:pPr>
    </w:p>
    <w:p w14:paraId="643E1A81" w14:textId="38FA55C9" w:rsidR="00360F22" w:rsidRDefault="0093387D" w:rsidP="00266EF3">
      <w:pPr>
        <w:spacing w:line="240" w:lineRule="auto"/>
        <w:rPr>
          <w:rFonts w:ascii="Lato Light" w:hAnsi="Lato Light" w:cstheme="majorHAnsi"/>
        </w:rPr>
      </w:pPr>
      <w:r>
        <w:rPr>
          <w:rFonts w:ascii="Lato Light" w:hAnsi="Lato Light" w:cstheme="majorHAnsi"/>
        </w:rPr>
        <w:t xml:space="preserve">This test may not be widely applicable for pass-through entities with self-employed K-1 owners, as they </w:t>
      </w:r>
      <w:r w:rsidR="009671FC">
        <w:rPr>
          <w:rFonts w:ascii="Lato Light" w:hAnsi="Lato Light" w:cstheme="majorHAnsi"/>
        </w:rPr>
        <w:t xml:space="preserve">typically </w:t>
      </w:r>
      <w:r>
        <w:rPr>
          <w:rFonts w:ascii="Lato Light" w:hAnsi="Lato Light" w:cstheme="majorHAnsi"/>
        </w:rPr>
        <w:t>cannot pay pre-tax toward a dependent daycare FSA and thus are largely excluded from participating in a dependent daycare FSA since there is no tax advantage to do so.</w:t>
      </w:r>
    </w:p>
    <w:p w14:paraId="4F307FEE" w14:textId="77777777" w:rsidR="0093387D" w:rsidRDefault="0093387D" w:rsidP="00266EF3">
      <w:pPr>
        <w:spacing w:line="240" w:lineRule="auto"/>
        <w:rPr>
          <w:rFonts w:ascii="Lato Light" w:hAnsi="Lato Light" w:cstheme="majorHAnsi"/>
        </w:rPr>
      </w:pPr>
    </w:p>
    <w:p w14:paraId="6BB3E04E" w14:textId="1C9F09CF" w:rsidR="0093387D" w:rsidRDefault="0093387D" w:rsidP="00266EF3">
      <w:pPr>
        <w:spacing w:line="240" w:lineRule="auto"/>
        <w:rPr>
          <w:rFonts w:ascii="Lato Light" w:hAnsi="Lato Light" w:cstheme="majorHAnsi"/>
        </w:rPr>
      </w:pPr>
      <w:r>
        <w:rPr>
          <w:rFonts w:ascii="Lato Light" w:hAnsi="Lato Light" w:cstheme="majorHAnsi"/>
        </w:rPr>
        <w:t>However, for an employer with more-than-5% owners participating, they (and their spouses or dependents) cannot receive “more than 25% of the amounts paid or incurred” during the year.  Failing this test results in taxation for all HCEs, not just taxing the more-than-5% owners.</w:t>
      </w:r>
    </w:p>
    <w:p w14:paraId="68A184F8" w14:textId="77777777" w:rsidR="0093387D" w:rsidRDefault="0093387D" w:rsidP="00266EF3">
      <w:pPr>
        <w:spacing w:line="240" w:lineRule="auto"/>
        <w:rPr>
          <w:rFonts w:ascii="Lato Light" w:hAnsi="Lato Light" w:cstheme="majorHAnsi"/>
        </w:rPr>
      </w:pPr>
    </w:p>
    <w:p w14:paraId="4BD88910" w14:textId="35178FE4" w:rsidR="0093387D" w:rsidRPr="0093387D" w:rsidRDefault="0093387D" w:rsidP="00266EF3">
      <w:pPr>
        <w:spacing w:line="240" w:lineRule="auto"/>
        <w:rPr>
          <w:rFonts w:ascii="Lato Light" w:hAnsi="Lato Light" w:cstheme="majorHAnsi"/>
          <w:i/>
          <w:iCs/>
        </w:rPr>
      </w:pPr>
      <w:r w:rsidRPr="0093387D">
        <w:rPr>
          <w:rFonts w:ascii="Lato Light" w:hAnsi="Lato Light" w:cstheme="majorHAnsi"/>
          <w:i/>
          <w:iCs/>
        </w:rPr>
        <w:t>4. 55% Average Benefits Test</w:t>
      </w:r>
    </w:p>
    <w:p w14:paraId="3A6F5219" w14:textId="77777777" w:rsidR="0093387D" w:rsidRDefault="0093387D" w:rsidP="00266EF3">
      <w:pPr>
        <w:spacing w:line="240" w:lineRule="auto"/>
        <w:rPr>
          <w:rFonts w:ascii="Lato Light" w:hAnsi="Lato Light" w:cstheme="majorHAnsi"/>
        </w:rPr>
      </w:pPr>
    </w:p>
    <w:p w14:paraId="3EE874CC" w14:textId="525DA4CD" w:rsidR="0093387D" w:rsidRDefault="0093387D" w:rsidP="00266EF3">
      <w:pPr>
        <w:spacing w:line="240" w:lineRule="auto"/>
        <w:rPr>
          <w:rFonts w:ascii="Lato Light" w:hAnsi="Lato Light" w:cstheme="majorHAnsi"/>
        </w:rPr>
      </w:pPr>
      <w:r>
        <w:rPr>
          <w:rFonts w:ascii="Lato Light" w:hAnsi="Lato Light" w:cstheme="majorHAnsi"/>
        </w:rPr>
        <w:t>This test i</w:t>
      </w:r>
      <w:r w:rsidR="009671FC">
        <w:rPr>
          <w:rFonts w:ascii="Lato Light" w:hAnsi="Lato Light" w:cstheme="majorHAnsi"/>
        </w:rPr>
        <w:t>s</w:t>
      </w:r>
      <w:r>
        <w:rPr>
          <w:rFonts w:ascii="Lato Light" w:hAnsi="Lato Light" w:cstheme="majorHAnsi"/>
        </w:rPr>
        <w:t xml:space="preserve"> failed by most employers and can be failed every single year, so it is vitally important to run preliminary testing early in the new plan year.</w:t>
      </w:r>
    </w:p>
    <w:p w14:paraId="200E0E62" w14:textId="77777777" w:rsidR="0093387D" w:rsidRDefault="0093387D" w:rsidP="00266EF3">
      <w:pPr>
        <w:spacing w:line="240" w:lineRule="auto"/>
        <w:rPr>
          <w:rFonts w:ascii="Lato Light" w:hAnsi="Lato Light" w:cstheme="majorHAnsi"/>
        </w:rPr>
      </w:pPr>
    </w:p>
    <w:p w14:paraId="0213C5F1" w14:textId="1D39F2B8" w:rsidR="0093387D" w:rsidRDefault="0093387D" w:rsidP="00266EF3">
      <w:pPr>
        <w:spacing w:line="240" w:lineRule="auto"/>
        <w:rPr>
          <w:rFonts w:ascii="Lato Light" w:hAnsi="Lato Light" w:cstheme="majorHAnsi"/>
        </w:rPr>
      </w:pPr>
      <w:r>
        <w:rPr>
          <w:rFonts w:ascii="Lato Light" w:hAnsi="Lato Light" w:cstheme="majorHAnsi"/>
        </w:rPr>
        <w:t>We discussed under the eligibility test above two classes of employees the employer might choose to exclude from coverage and thus exclude from testing.  In addition to those two exclusions also being available for this test, the employer can also exclude anyone with less than $25,000 compensation, even if they are eligible to participate, which may help, particularly for an employer with a lot of part-time or other employees earning less than $25,000.</w:t>
      </w:r>
    </w:p>
    <w:p w14:paraId="500E3B4C" w14:textId="77777777" w:rsidR="0093387D" w:rsidRDefault="0093387D" w:rsidP="00266EF3">
      <w:pPr>
        <w:spacing w:line="240" w:lineRule="auto"/>
        <w:rPr>
          <w:rFonts w:ascii="Lato Light" w:hAnsi="Lato Light" w:cstheme="majorHAnsi"/>
        </w:rPr>
      </w:pPr>
    </w:p>
    <w:p w14:paraId="29BAFD9A" w14:textId="77777777" w:rsidR="0093387D" w:rsidRDefault="0093387D" w:rsidP="00266EF3">
      <w:pPr>
        <w:spacing w:line="240" w:lineRule="auto"/>
        <w:rPr>
          <w:rFonts w:ascii="Lato Light" w:hAnsi="Lato Light" w:cstheme="majorHAnsi"/>
        </w:rPr>
      </w:pPr>
      <w:r>
        <w:rPr>
          <w:rFonts w:ascii="Lato Light" w:hAnsi="Lato Light" w:cstheme="majorHAnsi"/>
        </w:rPr>
        <w:t>The average benefits received by all non-HCEs must be at least 55% of the average benefits received by all HCEs.</w:t>
      </w:r>
    </w:p>
    <w:p w14:paraId="2DCB1C1B" w14:textId="77777777" w:rsidR="00027EF7" w:rsidRDefault="00027EF7" w:rsidP="00266EF3">
      <w:pPr>
        <w:spacing w:line="240" w:lineRule="auto"/>
        <w:rPr>
          <w:rFonts w:ascii="Lato Light" w:hAnsi="Lato Light" w:cstheme="majorHAnsi"/>
        </w:rPr>
      </w:pPr>
    </w:p>
    <w:p w14:paraId="5CDA26B3" w14:textId="3ECF8809" w:rsidR="0093387D" w:rsidRDefault="0093387D" w:rsidP="0093387D">
      <w:pPr>
        <w:pStyle w:val="ListParagraph"/>
        <w:numPr>
          <w:ilvl w:val="0"/>
          <w:numId w:val="24"/>
        </w:numPr>
        <w:spacing w:line="240" w:lineRule="auto"/>
        <w:rPr>
          <w:rFonts w:ascii="Lato Light" w:hAnsi="Lato Light" w:cstheme="majorHAnsi"/>
        </w:rPr>
      </w:pPr>
      <w:r w:rsidRPr="0093387D">
        <w:rPr>
          <w:rFonts w:ascii="Lato Light" w:hAnsi="Lato Light" w:cstheme="majorHAnsi"/>
        </w:rPr>
        <w:t>This is calculated by first calculating the total benefits received by HCEs during the year and dividing by the total comp</w:t>
      </w:r>
      <w:r w:rsidR="009671FC">
        <w:rPr>
          <w:rFonts w:ascii="Lato Light" w:hAnsi="Lato Light" w:cstheme="majorHAnsi"/>
        </w:rPr>
        <w:t>ensation</w:t>
      </w:r>
      <w:r w:rsidRPr="0093387D">
        <w:rPr>
          <w:rFonts w:ascii="Lato Light" w:hAnsi="Lato Light" w:cstheme="majorHAnsi"/>
        </w:rPr>
        <w:t xml:space="preserve"> of all HCEs</w:t>
      </w:r>
      <w:r w:rsidR="009671FC">
        <w:rPr>
          <w:rFonts w:ascii="Lato Light" w:hAnsi="Lato Light" w:cstheme="majorHAnsi"/>
        </w:rPr>
        <w:t xml:space="preserve"> for that year</w:t>
      </w:r>
      <w:r w:rsidRPr="0093387D">
        <w:rPr>
          <w:rFonts w:ascii="Lato Light" w:hAnsi="Lato Light" w:cstheme="majorHAnsi"/>
        </w:rPr>
        <w:t xml:space="preserve"> (whether they participate or not).  That determines the HCE average.</w:t>
      </w:r>
    </w:p>
    <w:p w14:paraId="348246A4" w14:textId="7D0A2E45" w:rsidR="0093387D" w:rsidRDefault="0093387D" w:rsidP="0093387D">
      <w:pPr>
        <w:pStyle w:val="ListParagraph"/>
        <w:numPr>
          <w:ilvl w:val="0"/>
          <w:numId w:val="24"/>
        </w:numPr>
        <w:spacing w:line="240" w:lineRule="auto"/>
        <w:rPr>
          <w:rFonts w:ascii="Lato Light" w:hAnsi="Lato Light" w:cstheme="majorHAnsi"/>
        </w:rPr>
      </w:pPr>
      <w:r>
        <w:rPr>
          <w:rFonts w:ascii="Lato Light" w:hAnsi="Lato Light" w:cstheme="majorHAnsi"/>
        </w:rPr>
        <w:t>The same calculation is run on non-HCEs, dividing their total benefits received by total comp</w:t>
      </w:r>
      <w:r w:rsidR="009671FC">
        <w:rPr>
          <w:rFonts w:ascii="Lato Light" w:hAnsi="Lato Light" w:cstheme="majorHAnsi"/>
        </w:rPr>
        <w:t>ensation</w:t>
      </w:r>
      <w:r>
        <w:rPr>
          <w:rFonts w:ascii="Lato Light" w:hAnsi="Lato Light" w:cstheme="majorHAnsi"/>
        </w:rPr>
        <w:t xml:space="preserve"> of all non-HCEs (whether they participate or not).</w:t>
      </w:r>
    </w:p>
    <w:p w14:paraId="21A8C01B" w14:textId="72F8A0E4" w:rsidR="0093387D" w:rsidRPr="0093387D" w:rsidRDefault="0093387D" w:rsidP="0093387D">
      <w:pPr>
        <w:pStyle w:val="ListParagraph"/>
        <w:numPr>
          <w:ilvl w:val="0"/>
          <w:numId w:val="24"/>
        </w:numPr>
        <w:spacing w:line="240" w:lineRule="auto"/>
        <w:rPr>
          <w:rFonts w:ascii="Lato Light" w:hAnsi="Lato Light" w:cstheme="majorHAnsi"/>
        </w:rPr>
      </w:pPr>
      <w:r>
        <w:rPr>
          <w:rFonts w:ascii="Lato Light" w:hAnsi="Lato Light" w:cstheme="majorHAnsi"/>
        </w:rPr>
        <w:t>The non-HCE average must be at least 55% of the HCE average.</w:t>
      </w:r>
    </w:p>
    <w:p w14:paraId="2DAE8EB7" w14:textId="77777777" w:rsidR="0093387D" w:rsidRDefault="0093387D" w:rsidP="00266EF3">
      <w:pPr>
        <w:spacing w:line="240" w:lineRule="auto"/>
        <w:rPr>
          <w:rFonts w:ascii="Lato Light" w:hAnsi="Lato Light" w:cstheme="majorHAnsi"/>
        </w:rPr>
      </w:pPr>
    </w:p>
    <w:p w14:paraId="6CCF93CB" w14:textId="5DE5A0A4" w:rsidR="0093387D" w:rsidRDefault="0093387D" w:rsidP="00266EF3">
      <w:pPr>
        <w:spacing w:line="240" w:lineRule="auto"/>
        <w:rPr>
          <w:rFonts w:ascii="Lato Light" w:hAnsi="Lato Light" w:cstheme="majorHAnsi"/>
        </w:rPr>
      </w:pPr>
      <w:r>
        <w:rPr>
          <w:rFonts w:ascii="Lato Light" w:hAnsi="Lato Light" w:cstheme="majorHAnsi"/>
        </w:rPr>
        <w:t>The fundamental issue with this test is when calculating averages, the employer must include all nonexcludable employees in each respective testing class, not just those participating.</w:t>
      </w:r>
      <w:r w:rsidR="009671FC">
        <w:rPr>
          <w:rFonts w:ascii="Lato Light" w:hAnsi="Lato Light" w:cstheme="majorHAnsi"/>
        </w:rPr>
        <w:t xml:space="preserve">  For most employers, that means everyone earning at least $25,000 is included.</w:t>
      </w:r>
      <w:r>
        <w:rPr>
          <w:rFonts w:ascii="Lato Light" w:hAnsi="Lato Light" w:cstheme="majorHAnsi"/>
        </w:rPr>
        <w:t xml:space="preserve">  </w:t>
      </w:r>
      <w:r w:rsidR="00027EF7">
        <w:rPr>
          <w:rFonts w:ascii="Lato Light" w:hAnsi="Lato Light" w:cstheme="majorHAnsi"/>
        </w:rPr>
        <w:t>So,</w:t>
      </w:r>
      <w:r>
        <w:rPr>
          <w:rFonts w:ascii="Lato Light" w:hAnsi="Lato Light" w:cstheme="majorHAnsi"/>
        </w:rPr>
        <w:t xml:space="preserve"> all nonexcludable non-HCEs receiving $0 from the dependent daycare FSA are bringing down the non-HCE average.</w:t>
      </w:r>
    </w:p>
    <w:p w14:paraId="3FA82F34" w14:textId="77777777" w:rsidR="00266EF3" w:rsidRDefault="00266EF3" w:rsidP="00266EF3">
      <w:pPr>
        <w:spacing w:line="240" w:lineRule="auto"/>
        <w:rPr>
          <w:rFonts w:ascii="Lato Light" w:hAnsi="Lato Light" w:cstheme="majorHAnsi"/>
        </w:rPr>
      </w:pPr>
    </w:p>
    <w:p w14:paraId="1C9A99C6" w14:textId="77777777" w:rsidR="009F51CE" w:rsidRDefault="009F51CE" w:rsidP="00745EE1">
      <w:pPr>
        <w:spacing w:line="240" w:lineRule="auto"/>
        <w:rPr>
          <w:rFonts w:ascii="Lato Light" w:hAnsi="Lato Light" w:cstheme="majorHAnsi"/>
          <w:b/>
          <w:bCs/>
        </w:rPr>
      </w:pPr>
    </w:p>
    <w:p w14:paraId="0433FCF9" w14:textId="77777777" w:rsidR="009F51CE" w:rsidRDefault="009F51CE" w:rsidP="00745EE1">
      <w:pPr>
        <w:spacing w:line="240" w:lineRule="auto"/>
        <w:rPr>
          <w:rFonts w:ascii="Lato Light" w:hAnsi="Lato Light" w:cstheme="majorHAnsi"/>
          <w:b/>
          <w:bCs/>
        </w:rPr>
      </w:pPr>
    </w:p>
    <w:p w14:paraId="1A711816" w14:textId="77777777" w:rsidR="009F51CE" w:rsidRDefault="009F51CE" w:rsidP="00745EE1">
      <w:pPr>
        <w:spacing w:line="240" w:lineRule="auto"/>
        <w:rPr>
          <w:rFonts w:ascii="Lato Light" w:hAnsi="Lato Light" w:cstheme="majorHAnsi"/>
          <w:b/>
          <w:bCs/>
        </w:rPr>
      </w:pPr>
    </w:p>
    <w:p w14:paraId="113A6A81" w14:textId="597C8E6F" w:rsidR="001F423C" w:rsidRPr="00731213" w:rsidRDefault="001F423C" w:rsidP="00745EE1">
      <w:pPr>
        <w:spacing w:line="240" w:lineRule="auto"/>
        <w:rPr>
          <w:rFonts w:ascii="Lato Light" w:hAnsi="Lato Light" w:cstheme="majorHAnsi"/>
          <w:b/>
          <w:bCs/>
        </w:rPr>
      </w:pPr>
      <w:r w:rsidRPr="00731213">
        <w:rPr>
          <w:rFonts w:ascii="Lato Light" w:hAnsi="Lato Light" w:cstheme="majorHAnsi"/>
          <w:b/>
          <w:bCs/>
        </w:rPr>
        <w:t>Consequences of Non-</w:t>
      </w:r>
      <w:r w:rsidR="00731213">
        <w:rPr>
          <w:rFonts w:ascii="Lato Light" w:hAnsi="Lato Light" w:cstheme="majorHAnsi"/>
          <w:b/>
          <w:bCs/>
        </w:rPr>
        <w:t>C</w:t>
      </w:r>
      <w:r w:rsidRPr="00731213">
        <w:rPr>
          <w:rFonts w:ascii="Lato Light" w:hAnsi="Lato Light" w:cstheme="majorHAnsi"/>
          <w:b/>
          <w:bCs/>
        </w:rPr>
        <w:t>ompliance:</w:t>
      </w:r>
    </w:p>
    <w:p w14:paraId="5C1CA987" w14:textId="77777777" w:rsidR="001F423C" w:rsidRPr="00731213" w:rsidRDefault="001F423C" w:rsidP="00745EE1">
      <w:pPr>
        <w:spacing w:line="240" w:lineRule="auto"/>
        <w:rPr>
          <w:rFonts w:ascii="Lato Light" w:hAnsi="Lato Light" w:cstheme="majorHAnsi"/>
          <w:b/>
          <w:bCs/>
        </w:rPr>
      </w:pPr>
    </w:p>
    <w:p w14:paraId="29FD6B7A" w14:textId="046D03D7" w:rsidR="009671FC" w:rsidRDefault="009671FC" w:rsidP="00466B2B">
      <w:pPr>
        <w:spacing w:line="240" w:lineRule="auto"/>
        <w:rPr>
          <w:rFonts w:ascii="Lato Light" w:hAnsi="Lato Light" w:cstheme="majorHAnsi"/>
        </w:rPr>
      </w:pPr>
      <w:r>
        <w:rPr>
          <w:rFonts w:ascii="Lato Light" w:hAnsi="Lato Light" w:cstheme="majorHAnsi"/>
        </w:rPr>
        <w:t>If the</w:t>
      </w:r>
      <w:r w:rsidR="00266EF3">
        <w:rPr>
          <w:rFonts w:ascii="Lato Light" w:hAnsi="Lato Light" w:cstheme="majorHAnsi"/>
        </w:rPr>
        <w:t xml:space="preserve"> </w:t>
      </w:r>
      <w:r>
        <w:rPr>
          <w:rFonts w:ascii="Lato Light" w:hAnsi="Lato Light" w:cstheme="majorHAnsi"/>
        </w:rPr>
        <w:t>dependent daycare FSA</w:t>
      </w:r>
      <w:r w:rsidR="00466B2B">
        <w:rPr>
          <w:rFonts w:ascii="Lato Light" w:hAnsi="Lato Light" w:cstheme="majorHAnsi"/>
        </w:rPr>
        <w:t xml:space="preserve"> </w:t>
      </w:r>
      <w:r>
        <w:rPr>
          <w:rFonts w:ascii="Lato Light" w:hAnsi="Lato Light" w:cstheme="majorHAnsi"/>
        </w:rPr>
        <w:t>fails any of the four tests</w:t>
      </w:r>
      <w:r w:rsidR="00466B2B">
        <w:rPr>
          <w:rFonts w:ascii="Lato Light" w:hAnsi="Lato Light" w:cstheme="majorHAnsi"/>
        </w:rPr>
        <w:t xml:space="preserve">, </w:t>
      </w:r>
      <w:r>
        <w:rPr>
          <w:rFonts w:ascii="Lato Light" w:hAnsi="Lato Light" w:cstheme="majorHAnsi"/>
        </w:rPr>
        <w:t>then</w:t>
      </w:r>
      <w:r w:rsidR="00266EF3">
        <w:rPr>
          <w:rFonts w:ascii="Lato Light" w:hAnsi="Lato Light" w:cstheme="majorHAnsi"/>
        </w:rPr>
        <w:t xml:space="preserve"> </w:t>
      </w:r>
      <w:r>
        <w:rPr>
          <w:rFonts w:ascii="Lato Light" w:hAnsi="Lato Light" w:cstheme="majorHAnsi"/>
        </w:rPr>
        <w:t>all daycare expense reimbursements HCEs received that year are reported as taxable income on their W-2</w:t>
      </w:r>
      <w:r w:rsidR="00466B2B" w:rsidRPr="00731213">
        <w:rPr>
          <w:rFonts w:ascii="Lato Light" w:hAnsi="Lato Light" w:cstheme="majorHAnsi"/>
        </w:rPr>
        <w:t>.</w:t>
      </w:r>
      <w:r>
        <w:rPr>
          <w:rFonts w:ascii="Lato Light" w:hAnsi="Lato Light" w:cstheme="majorHAnsi"/>
        </w:rPr>
        <w:t xml:space="preserve">  Even failing the more-than-5% owners concentration test results in taxing all HCEs, not just the more-than-5% owners.  </w:t>
      </w:r>
    </w:p>
    <w:p w14:paraId="7513A55B" w14:textId="77777777" w:rsidR="009671FC" w:rsidRDefault="009671FC" w:rsidP="00466B2B">
      <w:pPr>
        <w:spacing w:line="240" w:lineRule="auto"/>
        <w:rPr>
          <w:rFonts w:ascii="Lato Light" w:hAnsi="Lato Light" w:cstheme="majorHAnsi"/>
        </w:rPr>
      </w:pPr>
    </w:p>
    <w:p w14:paraId="452A0AB3" w14:textId="3B3CA910" w:rsidR="00466B2B" w:rsidRDefault="009671FC" w:rsidP="00466B2B">
      <w:pPr>
        <w:spacing w:line="240" w:lineRule="auto"/>
        <w:rPr>
          <w:rFonts w:ascii="Lato Light" w:hAnsi="Lato Light" w:cstheme="majorHAnsi"/>
        </w:rPr>
      </w:pPr>
      <w:r>
        <w:rPr>
          <w:rFonts w:ascii="Lato Light" w:hAnsi="Lato Light" w:cstheme="majorHAnsi"/>
        </w:rPr>
        <w:t>If a failure is discovered after issuing forms W-2, then revised forms W-2 must be issued to HCEs, which may result in them having to refile their taxes if they have already filed.  This can be an unfortunate consequence when the plan provides a 90-day run-out to submit receipts for daycare expenses incurred the prior year.</w:t>
      </w:r>
    </w:p>
    <w:p w14:paraId="15C5A877" w14:textId="77777777" w:rsidR="009671FC" w:rsidRDefault="009671FC" w:rsidP="00466B2B">
      <w:pPr>
        <w:spacing w:line="240" w:lineRule="auto"/>
        <w:rPr>
          <w:rFonts w:ascii="Lato Light" w:hAnsi="Lato Light" w:cstheme="majorHAnsi"/>
        </w:rPr>
      </w:pPr>
    </w:p>
    <w:p w14:paraId="594F50F2" w14:textId="5DC6AA5D" w:rsidR="009671FC" w:rsidRDefault="009671FC" w:rsidP="00466B2B">
      <w:pPr>
        <w:spacing w:line="240" w:lineRule="auto"/>
        <w:rPr>
          <w:rFonts w:ascii="Lato Light" w:hAnsi="Lato Light" w:cstheme="majorHAnsi"/>
        </w:rPr>
      </w:pPr>
      <w:r>
        <w:rPr>
          <w:rFonts w:ascii="Lato Light" w:hAnsi="Lato Light" w:cstheme="majorHAnsi"/>
        </w:rPr>
        <w:t>For these reasons, preliminary testing is strongly advised.</w:t>
      </w:r>
    </w:p>
    <w:p w14:paraId="2AB9DE5B" w14:textId="77777777" w:rsidR="00466B2B" w:rsidRDefault="00466B2B" w:rsidP="00745EE1">
      <w:pPr>
        <w:spacing w:line="240" w:lineRule="auto"/>
        <w:rPr>
          <w:rFonts w:ascii="Lato Light" w:hAnsi="Lato Light" w:cstheme="majorHAnsi"/>
        </w:rPr>
      </w:pPr>
    </w:p>
    <w:p w14:paraId="48E2682B" w14:textId="4D508D57" w:rsidR="001F423C" w:rsidRPr="009671FC" w:rsidRDefault="001F578D" w:rsidP="009671FC">
      <w:pPr>
        <w:spacing w:line="240" w:lineRule="auto"/>
        <w:rPr>
          <w:rFonts w:ascii="Lato Light" w:hAnsi="Lato Light" w:cstheme="majorHAnsi"/>
        </w:rPr>
      </w:pPr>
      <w:r w:rsidRPr="009671FC">
        <w:rPr>
          <w:rFonts w:ascii="Lato Light" w:hAnsi="Lato Light" w:cstheme="majorHAnsi"/>
        </w:rPr>
        <w:t xml:space="preserve">Failing NDT does not disqualify the </w:t>
      </w:r>
      <w:r w:rsidR="00027EF7">
        <w:rPr>
          <w:rFonts w:ascii="Lato Light" w:hAnsi="Lato Light" w:cstheme="majorHAnsi"/>
        </w:rPr>
        <w:t>entire</w:t>
      </w:r>
      <w:r w:rsidR="00027EF7" w:rsidRPr="009671FC">
        <w:rPr>
          <w:rFonts w:ascii="Lato Light" w:hAnsi="Lato Light" w:cstheme="majorHAnsi"/>
        </w:rPr>
        <w:t xml:space="preserve"> </w:t>
      </w:r>
      <w:r w:rsidRPr="009671FC">
        <w:rPr>
          <w:rFonts w:ascii="Lato Light" w:hAnsi="Lato Light" w:cstheme="majorHAnsi"/>
        </w:rPr>
        <w:t>plan or have any impact on non-</w:t>
      </w:r>
      <w:r w:rsidR="00266EF3" w:rsidRPr="009671FC">
        <w:rPr>
          <w:rFonts w:ascii="Lato Light" w:hAnsi="Lato Light" w:cstheme="majorHAnsi"/>
        </w:rPr>
        <w:t>HC</w:t>
      </w:r>
      <w:r w:rsidR="009671FC">
        <w:rPr>
          <w:rFonts w:ascii="Lato Light" w:hAnsi="Lato Light" w:cstheme="majorHAnsi"/>
        </w:rPr>
        <w:t>E</w:t>
      </w:r>
      <w:r w:rsidR="00266EF3" w:rsidRPr="009671FC">
        <w:rPr>
          <w:rFonts w:ascii="Lato Light" w:hAnsi="Lato Light" w:cstheme="majorHAnsi"/>
        </w:rPr>
        <w:t>s</w:t>
      </w:r>
      <w:r w:rsidRPr="009671FC">
        <w:rPr>
          <w:rFonts w:ascii="Lato Light" w:hAnsi="Lato Light" w:cstheme="majorHAnsi"/>
        </w:rPr>
        <w:t>.</w:t>
      </w:r>
    </w:p>
    <w:p w14:paraId="738D0C75" w14:textId="77777777" w:rsidR="001F423C" w:rsidRPr="00731213" w:rsidRDefault="001F423C" w:rsidP="00745EE1">
      <w:pPr>
        <w:spacing w:line="240" w:lineRule="auto"/>
        <w:rPr>
          <w:rFonts w:ascii="Lato Light" w:hAnsi="Lato Light" w:cstheme="majorHAnsi"/>
          <w:b/>
          <w:bCs/>
        </w:rPr>
      </w:pPr>
    </w:p>
    <w:p w14:paraId="4BD91335" w14:textId="6C9B22A5" w:rsidR="001F423C" w:rsidRPr="00731213" w:rsidRDefault="001F423C" w:rsidP="00745EE1">
      <w:pPr>
        <w:spacing w:line="240" w:lineRule="auto"/>
        <w:rPr>
          <w:rFonts w:ascii="Lato Light" w:hAnsi="Lato Light" w:cstheme="majorHAnsi"/>
          <w:b/>
          <w:bCs/>
        </w:rPr>
      </w:pPr>
      <w:r w:rsidRPr="00731213">
        <w:rPr>
          <w:rFonts w:ascii="Lato Light" w:hAnsi="Lato Light" w:cstheme="majorHAnsi"/>
          <w:b/>
          <w:bCs/>
        </w:rPr>
        <w:t>Practical Implications for Employers:</w:t>
      </w:r>
    </w:p>
    <w:p w14:paraId="00000010" w14:textId="77777777" w:rsidR="0001489F" w:rsidRPr="00731213" w:rsidRDefault="0001489F" w:rsidP="00745EE1">
      <w:pPr>
        <w:spacing w:line="240" w:lineRule="auto"/>
        <w:rPr>
          <w:rFonts w:ascii="Lato Light" w:hAnsi="Lato Light" w:cstheme="majorHAnsi"/>
        </w:rPr>
      </w:pPr>
    </w:p>
    <w:p w14:paraId="6117E58F" w14:textId="6D410DB1" w:rsidR="009671FC" w:rsidRDefault="009671FC" w:rsidP="008C4703">
      <w:pPr>
        <w:spacing w:line="240" w:lineRule="auto"/>
        <w:rPr>
          <w:rFonts w:ascii="Lato Light" w:hAnsi="Lato Light" w:cstheme="majorHAnsi"/>
        </w:rPr>
      </w:pPr>
      <w:r>
        <w:rPr>
          <w:rFonts w:ascii="Lato Light" w:hAnsi="Lato Light" w:cstheme="majorHAnsi"/>
        </w:rPr>
        <w:t xml:space="preserve">Section 129 is concerned most with limiting employees and spouses to $5,000 of total non-taxable benefits combined per calendar year and ensuring forms W-2 of HCEs correctly reports their reimbursements as taxable if they were overly favored.  Therefore, §129 </w:t>
      </w:r>
      <w:r w:rsidR="008C4703">
        <w:rPr>
          <w:rFonts w:ascii="Lato Light" w:hAnsi="Lato Light" w:cstheme="majorHAnsi"/>
        </w:rPr>
        <w:t xml:space="preserve">NDT </w:t>
      </w:r>
      <w:r>
        <w:rPr>
          <w:rFonts w:ascii="Lato Light" w:hAnsi="Lato Light" w:cstheme="majorHAnsi"/>
        </w:rPr>
        <w:t xml:space="preserve">makes the most sense to </w:t>
      </w:r>
      <w:r w:rsidR="008C4703">
        <w:rPr>
          <w:rFonts w:ascii="Lato Light" w:hAnsi="Lato Light" w:cstheme="majorHAnsi"/>
        </w:rPr>
        <w:t xml:space="preserve">run at the end of each </w:t>
      </w:r>
      <w:r>
        <w:rPr>
          <w:rFonts w:ascii="Lato Light" w:hAnsi="Lato Light" w:cstheme="majorHAnsi"/>
        </w:rPr>
        <w:t>calendar</w:t>
      </w:r>
      <w:r w:rsidR="008C4703">
        <w:rPr>
          <w:rFonts w:ascii="Lato Light" w:hAnsi="Lato Light" w:cstheme="majorHAnsi"/>
        </w:rPr>
        <w:t xml:space="preserve"> year</w:t>
      </w:r>
      <w:r>
        <w:rPr>
          <w:rFonts w:ascii="Lato Light" w:hAnsi="Lato Light" w:cstheme="majorHAnsi"/>
        </w:rPr>
        <w:t>.  The trickiest part is addressing potential run-out claims.</w:t>
      </w:r>
    </w:p>
    <w:p w14:paraId="491C221F" w14:textId="77777777" w:rsidR="009671FC" w:rsidRDefault="009671FC" w:rsidP="008C4703">
      <w:pPr>
        <w:spacing w:line="240" w:lineRule="auto"/>
        <w:rPr>
          <w:rFonts w:ascii="Lato Light" w:hAnsi="Lato Light" w:cstheme="majorHAnsi"/>
        </w:rPr>
      </w:pPr>
    </w:p>
    <w:p w14:paraId="707C1A35" w14:textId="2E0A2AFF" w:rsidR="008C4703" w:rsidRDefault="009671FC" w:rsidP="008C4703">
      <w:pPr>
        <w:spacing w:line="240" w:lineRule="auto"/>
        <w:rPr>
          <w:rFonts w:ascii="Lato Light" w:hAnsi="Lato Light" w:cstheme="majorHAnsi"/>
        </w:rPr>
      </w:pPr>
      <w:r>
        <w:rPr>
          <w:rFonts w:ascii="Lato Light" w:hAnsi="Lato Light" w:cstheme="majorHAnsi"/>
        </w:rPr>
        <w:t>Running the last day of the calendar year ensures they</w:t>
      </w:r>
      <w:r w:rsidR="008C4703">
        <w:rPr>
          <w:rFonts w:ascii="Lato Light" w:hAnsi="Lato Light" w:cstheme="majorHAnsi"/>
        </w:rPr>
        <w:t xml:space="preserve"> include all employees hired and terminated throughout the year</w:t>
      </w:r>
      <w:r>
        <w:rPr>
          <w:rFonts w:ascii="Lato Light" w:hAnsi="Lato Light" w:cstheme="majorHAnsi"/>
        </w:rPr>
        <w:t xml:space="preserve">.  </w:t>
      </w:r>
      <w:r w:rsidR="00027EF7">
        <w:rPr>
          <w:rFonts w:ascii="Lato Light" w:hAnsi="Lato Light" w:cstheme="majorHAnsi"/>
        </w:rPr>
        <w:t xml:space="preserve">However, </w:t>
      </w:r>
      <w:r w:rsidR="008C4703">
        <w:rPr>
          <w:rFonts w:ascii="Lato Light" w:hAnsi="Lato Light" w:cstheme="majorHAnsi"/>
        </w:rPr>
        <w:t>employers often run a preliminary test so they can make proactive adjustments that hopefully prevent tax headaches later.</w:t>
      </w:r>
    </w:p>
    <w:p w14:paraId="64066075" w14:textId="77777777" w:rsidR="008C4703" w:rsidRDefault="008C4703" w:rsidP="008C4703">
      <w:pPr>
        <w:spacing w:line="240" w:lineRule="auto"/>
        <w:rPr>
          <w:rFonts w:ascii="Lato Light" w:hAnsi="Lato Light" w:cstheme="majorHAnsi"/>
        </w:rPr>
      </w:pPr>
    </w:p>
    <w:p w14:paraId="63AF566C" w14:textId="77777777" w:rsidR="008C4703" w:rsidRDefault="008C4703" w:rsidP="008C4703">
      <w:pPr>
        <w:spacing w:line="240" w:lineRule="auto"/>
        <w:rPr>
          <w:rFonts w:ascii="Lato Light" w:hAnsi="Lato Light" w:cstheme="majorHAnsi"/>
        </w:rPr>
      </w:pPr>
      <w:r>
        <w:rPr>
          <w:rFonts w:ascii="Lato Light" w:hAnsi="Lato Light" w:cstheme="majorHAnsi"/>
        </w:rPr>
        <w:t>If the employer is in a controlled group or other close arrangement with other related employers, NDT rules expect them to test as if they are one large employer.  Employee leasing entities may also be implicated.  These complicated situations make it worth outsourcing the testing to an NDT expert.</w:t>
      </w:r>
    </w:p>
    <w:p w14:paraId="27C976AB" w14:textId="77777777" w:rsidR="008C4703" w:rsidRDefault="008C4703" w:rsidP="001F578D">
      <w:pPr>
        <w:spacing w:line="240" w:lineRule="auto"/>
        <w:rPr>
          <w:rFonts w:ascii="Lato Light" w:hAnsi="Lato Light" w:cstheme="majorHAnsi"/>
        </w:rPr>
      </w:pPr>
    </w:p>
    <w:p w14:paraId="12E95752" w14:textId="741CD1FD" w:rsidR="00E75B4F" w:rsidRDefault="001F578D" w:rsidP="001F578D">
      <w:pPr>
        <w:spacing w:line="240" w:lineRule="auto"/>
        <w:rPr>
          <w:rFonts w:ascii="Lato Light" w:hAnsi="Lato Light" w:cstheme="majorHAnsi"/>
        </w:rPr>
      </w:pPr>
      <w:r>
        <w:rPr>
          <w:rFonts w:ascii="Lato Light" w:hAnsi="Lato Light" w:cstheme="majorHAnsi"/>
        </w:rPr>
        <w:t xml:space="preserve">Employers sponsoring </w:t>
      </w:r>
      <w:r w:rsidR="009671FC">
        <w:rPr>
          <w:rFonts w:ascii="Lato Light" w:hAnsi="Lato Light" w:cstheme="majorHAnsi"/>
        </w:rPr>
        <w:t>a dependent daycare FSA</w:t>
      </w:r>
      <w:r>
        <w:rPr>
          <w:rFonts w:ascii="Lato Light" w:hAnsi="Lato Light" w:cstheme="majorHAnsi"/>
        </w:rPr>
        <w:t xml:space="preserve"> typically hire a third-party administrator (TPA) to administer</w:t>
      </w:r>
      <w:r w:rsidR="00766FFD">
        <w:rPr>
          <w:rFonts w:ascii="Lato Light" w:hAnsi="Lato Light" w:cstheme="majorHAnsi"/>
        </w:rPr>
        <w:t xml:space="preserve">. </w:t>
      </w:r>
      <w:r>
        <w:rPr>
          <w:rFonts w:ascii="Lato Light" w:hAnsi="Lato Light" w:cstheme="majorHAnsi"/>
        </w:rPr>
        <w:t xml:space="preserve">These TPAs can be an ideal partner </w:t>
      </w:r>
      <w:r w:rsidR="008C4703">
        <w:rPr>
          <w:rFonts w:ascii="Lato Light" w:hAnsi="Lato Light" w:cstheme="majorHAnsi"/>
        </w:rPr>
        <w:t>to hire for</w:t>
      </w:r>
      <w:r>
        <w:rPr>
          <w:rFonts w:ascii="Lato Light" w:hAnsi="Lato Light" w:cstheme="majorHAnsi"/>
        </w:rPr>
        <w:t xml:space="preserve"> NDT (including preliminary tests if you want to proactively ensure your plan looks like it will pass).</w:t>
      </w:r>
    </w:p>
    <w:p w14:paraId="1D3ADBB9" w14:textId="77777777" w:rsidR="001F578D" w:rsidRDefault="001F578D" w:rsidP="001F578D">
      <w:pPr>
        <w:spacing w:line="240" w:lineRule="auto"/>
        <w:rPr>
          <w:rFonts w:ascii="Lato Light" w:hAnsi="Lato Light" w:cstheme="majorHAnsi"/>
        </w:rPr>
      </w:pPr>
    </w:p>
    <w:p w14:paraId="240953B4" w14:textId="77777777" w:rsidR="00CE01F6" w:rsidRDefault="00CE01F6" w:rsidP="001F578D">
      <w:pPr>
        <w:spacing w:line="240" w:lineRule="auto"/>
        <w:rPr>
          <w:rFonts w:ascii="Lato Light" w:hAnsi="Lato Light" w:cstheme="majorHAnsi"/>
        </w:rPr>
      </w:pPr>
      <w:r>
        <w:rPr>
          <w:rFonts w:ascii="Lato Light" w:hAnsi="Lato Light" w:cstheme="majorHAnsi"/>
        </w:rPr>
        <w:t>Issues can sometimes arise when:</w:t>
      </w:r>
    </w:p>
    <w:p w14:paraId="22A0E856" w14:textId="1A1D3229" w:rsidR="00CE01F6" w:rsidRDefault="009671FC" w:rsidP="00CE01F6">
      <w:pPr>
        <w:pStyle w:val="ListParagraph"/>
        <w:numPr>
          <w:ilvl w:val="0"/>
          <w:numId w:val="23"/>
        </w:numPr>
        <w:spacing w:line="240" w:lineRule="auto"/>
        <w:rPr>
          <w:rFonts w:ascii="Lato Light" w:hAnsi="Lato Light" w:cstheme="majorHAnsi"/>
        </w:rPr>
      </w:pPr>
      <w:r>
        <w:rPr>
          <w:rFonts w:ascii="Lato Light" w:hAnsi="Lato Light" w:cstheme="majorHAnsi"/>
        </w:rPr>
        <w:t xml:space="preserve">Non-HCEs on average do not elect </w:t>
      </w:r>
      <w:r w:rsidR="00027EF7">
        <w:rPr>
          <w:rFonts w:ascii="Lato Light" w:hAnsi="Lato Light" w:cstheme="majorHAnsi"/>
        </w:rPr>
        <w:t xml:space="preserve">as frequently </w:t>
      </w:r>
      <w:r>
        <w:rPr>
          <w:rFonts w:ascii="Lato Light" w:hAnsi="Lato Light" w:cstheme="majorHAnsi"/>
        </w:rPr>
        <w:t>(</w:t>
      </w:r>
      <w:r w:rsidR="00027EF7">
        <w:rPr>
          <w:rFonts w:ascii="Lato Light" w:hAnsi="Lato Light" w:cstheme="majorHAnsi"/>
        </w:rPr>
        <w:t xml:space="preserve">i.e., </w:t>
      </w:r>
      <w:r>
        <w:rPr>
          <w:rFonts w:ascii="Lato Light" w:hAnsi="Lato Light" w:cstheme="majorHAnsi"/>
        </w:rPr>
        <w:t>$0 elections bring</w:t>
      </w:r>
      <w:r w:rsidR="00027EF7">
        <w:rPr>
          <w:rFonts w:ascii="Lato Light" w:hAnsi="Lato Light" w:cstheme="majorHAnsi"/>
        </w:rPr>
        <w:t xml:space="preserve"> down</w:t>
      </w:r>
      <w:r>
        <w:rPr>
          <w:rFonts w:ascii="Lato Light" w:hAnsi="Lato Light" w:cstheme="majorHAnsi"/>
        </w:rPr>
        <w:t xml:space="preserve"> the non-HCE average election)</w:t>
      </w:r>
      <w:r w:rsidR="00027EF7">
        <w:rPr>
          <w:rFonts w:ascii="Lato Light" w:hAnsi="Lato Light" w:cstheme="majorHAnsi"/>
        </w:rPr>
        <w:t>.</w:t>
      </w:r>
    </w:p>
    <w:p w14:paraId="0A4BFC77" w14:textId="1D1AE5EA" w:rsidR="00C53778" w:rsidRDefault="00266EF3" w:rsidP="00CE01F6">
      <w:pPr>
        <w:pStyle w:val="ListParagraph"/>
        <w:numPr>
          <w:ilvl w:val="0"/>
          <w:numId w:val="23"/>
        </w:numPr>
        <w:spacing w:line="240" w:lineRule="auto"/>
        <w:rPr>
          <w:rFonts w:ascii="Lato Light" w:hAnsi="Lato Light" w:cstheme="majorHAnsi"/>
        </w:rPr>
      </w:pPr>
      <w:r>
        <w:rPr>
          <w:rFonts w:ascii="Lato Light" w:hAnsi="Lato Light" w:cstheme="majorHAnsi"/>
        </w:rPr>
        <w:t>M</w:t>
      </w:r>
      <w:r w:rsidR="00C53778">
        <w:rPr>
          <w:rFonts w:ascii="Lato Light" w:hAnsi="Lato Light" w:cstheme="majorHAnsi"/>
        </w:rPr>
        <w:t>ember</w:t>
      </w:r>
      <w:r>
        <w:rPr>
          <w:rFonts w:ascii="Lato Light" w:hAnsi="Lato Light" w:cstheme="majorHAnsi"/>
        </w:rPr>
        <w:t>s</w:t>
      </w:r>
      <w:r w:rsidR="00C53778">
        <w:rPr>
          <w:rFonts w:ascii="Lato Light" w:hAnsi="Lato Light" w:cstheme="majorHAnsi"/>
        </w:rPr>
        <w:t xml:space="preserve"> of</w:t>
      </w:r>
      <w:r w:rsidR="00C53778" w:rsidRPr="00841C56">
        <w:rPr>
          <w:rFonts w:ascii="Lato Light" w:hAnsi="Lato Light" w:cstheme="majorHAnsi"/>
        </w:rPr>
        <w:t xml:space="preserve"> a related group of corporations or businesses</w:t>
      </w:r>
      <w:r w:rsidR="00C53778">
        <w:rPr>
          <w:rFonts w:ascii="Lato Light" w:hAnsi="Lato Light" w:cstheme="majorHAnsi"/>
        </w:rPr>
        <w:t xml:space="preserve"> </w:t>
      </w:r>
      <w:r>
        <w:rPr>
          <w:rFonts w:ascii="Lato Light" w:hAnsi="Lato Light" w:cstheme="majorHAnsi"/>
        </w:rPr>
        <w:t xml:space="preserve">have different </w:t>
      </w:r>
      <w:r w:rsidR="009671FC">
        <w:rPr>
          <w:rFonts w:ascii="Lato Light" w:hAnsi="Lato Light" w:cstheme="majorHAnsi"/>
        </w:rPr>
        <w:t>dependent daycare FSA</w:t>
      </w:r>
      <w:r>
        <w:rPr>
          <w:rFonts w:ascii="Lato Light" w:hAnsi="Lato Light" w:cstheme="majorHAnsi"/>
        </w:rPr>
        <w:t xml:space="preserve"> benefits, contributions, waiting periods, etc.</w:t>
      </w:r>
    </w:p>
    <w:p w14:paraId="2DE5DAD5" w14:textId="77777777" w:rsidR="00466B2B" w:rsidRDefault="00466B2B" w:rsidP="001F578D">
      <w:pPr>
        <w:spacing w:line="240" w:lineRule="auto"/>
        <w:rPr>
          <w:rFonts w:ascii="Lato Light" w:hAnsi="Lato Light" w:cstheme="majorHAnsi"/>
        </w:rPr>
      </w:pPr>
    </w:p>
    <w:p w14:paraId="7CD3A11F" w14:textId="6DC14456" w:rsidR="00466B2B" w:rsidRPr="00731213" w:rsidRDefault="00466B2B" w:rsidP="001F578D">
      <w:pPr>
        <w:spacing w:line="240" w:lineRule="auto"/>
        <w:rPr>
          <w:rFonts w:ascii="Lato Light" w:hAnsi="Lato Light" w:cstheme="majorHAnsi"/>
        </w:rPr>
      </w:pPr>
      <w:r>
        <w:rPr>
          <w:rFonts w:ascii="Lato Light" w:hAnsi="Lato Light" w:cstheme="majorHAnsi"/>
        </w:rPr>
        <w:t>Testing results are kept on file and do not have to be reported, but they must be provided to the IRS upon request and might be requested as part of a merger/acquisition due diligence review.</w:t>
      </w:r>
    </w:p>
    <w:sectPr w:rsidR="00466B2B" w:rsidRPr="00731213" w:rsidSect="009F51CE">
      <w:headerReference w:type="default" r:id="rId7"/>
      <w:pgSz w:w="12240" w:h="15840"/>
      <w:pgMar w:top="1080" w:right="1080" w:bottom="108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15065" w14:textId="77777777" w:rsidR="007114BC" w:rsidRDefault="007114BC" w:rsidP="005A4439">
      <w:pPr>
        <w:spacing w:line="240" w:lineRule="auto"/>
      </w:pPr>
      <w:r>
        <w:separator/>
      </w:r>
    </w:p>
  </w:endnote>
  <w:endnote w:type="continuationSeparator" w:id="0">
    <w:p w14:paraId="69589626" w14:textId="77777777" w:rsidR="007114BC" w:rsidRDefault="007114BC" w:rsidP="005A44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Light">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6AE06" w14:textId="77777777" w:rsidR="007114BC" w:rsidRDefault="007114BC" w:rsidP="005A4439">
      <w:pPr>
        <w:spacing w:line="240" w:lineRule="auto"/>
      </w:pPr>
      <w:r>
        <w:separator/>
      </w:r>
    </w:p>
  </w:footnote>
  <w:footnote w:type="continuationSeparator" w:id="0">
    <w:p w14:paraId="7DC04358" w14:textId="77777777" w:rsidR="007114BC" w:rsidRDefault="007114BC" w:rsidP="005A44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C0660" w14:textId="6F62FF50" w:rsidR="005A4439" w:rsidRPr="001F423C" w:rsidRDefault="005B04D9" w:rsidP="00731213">
    <w:pPr>
      <w:rPr>
        <w:rFonts w:ascii="Calibri" w:hAnsi="Calibri" w:cs="Calibri"/>
        <w:b/>
        <w:sz w:val="28"/>
        <w:szCs w:val="28"/>
      </w:rPr>
    </w:pPr>
    <w:r>
      <w:rPr>
        <w:noProof/>
      </w:rPr>
      <w:drawing>
        <wp:inline distT="0" distB="0" distL="0" distR="0" wp14:anchorId="65D015A1" wp14:editId="7A01505B">
          <wp:extent cx="1406264" cy="571500"/>
          <wp:effectExtent l="0" t="0" r="3810" b="0"/>
          <wp:docPr id="8739372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937297"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19400" cy="576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5632"/>
    <w:multiLevelType w:val="hybridMultilevel"/>
    <w:tmpl w:val="107CD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637A7"/>
    <w:multiLevelType w:val="hybridMultilevel"/>
    <w:tmpl w:val="C56AE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A7572"/>
    <w:multiLevelType w:val="hybridMultilevel"/>
    <w:tmpl w:val="4A5281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92A10"/>
    <w:multiLevelType w:val="hybridMultilevel"/>
    <w:tmpl w:val="09402366"/>
    <w:lvl w:ilvl="0" w:tplc="9790D982">
      <w:start w:val="1"/>
      <w:numFmt w:val="decimal"/>
      <w:lvlText w:val="(%1)"/>
      <w:lvlJc w:val="left"/>
      <w:pPr>
        <w:ind w:left="720" w:hanging="360"/>
      </w:pPr>
      <w:rPr>
        <w:rFonts w:hint="default"/>
      </w:rPr>
    </w:lvl>
    <w:lvl w:ilvl="1" w:tplc="D6C046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271F1"/>
    <w:multiLevelType w:val="hybridMultilevel"/>
    <w:tmpl w:val="04720652"/>
    <w:lvl w:ilvl="0" w:tplc="0409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 w15:restartNumberingAfterBreak="0">
    <w:nsid w:val="1CE81E60"/>
    <w:multiLevelType w:val="hybridMultilevel"/>
    <w:tmpl w:val="E284838C"/>
    <w:lvl w:ilvl="0" w:tplc="D6C04612">
      <w:start w:val="1"/>
      <w:numFmt w:val="lowerLetter"/>
      <w:lvlText w:val="(%1)"/>
      <w:lvlJc w:val="left"/>
      <w:pPr>
        <w:ind w:left="720" w:hanging="360"/>
      </w:pPr>
      <w:rPr>
        <w:rFonts w:hint="default"/>
      </w:rPr>
    </w:lvl>
    <w:lvl w:ilvl="1" w:tplc="F4F05B2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D142D"/>
    <w:multiLevelType w:val="hybridMultilevel"/>
    <w:tmpl w:val="70E8CCC4"/>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D392D"/>
    <w:multiLevelType w:val="hybridMultilevel"/>
    <w:tmpl w:val="8580E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31790"/>
    <w:multiLevelType w:val="hybridMultilevel"/>
    <w:tmpl w:val="375E6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B4E19"/>
    <w:multiLevelType w:val="multilevel"/>
    <w:tmpl w:val="D97A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AB7431"/>
    <w:multiLevelType w:val="hybridMultilevel"/>
    <w:tmpl w:val="BA0CE0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401A0"/>
    <w:multiLevelType w:val="hybridMultilevel"/>
    <w:tmpl w:val="2CF64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C4019"/>
    <w:multiLevelType w:val="hybridMultilevel"/>
    <w:tmpl w:val="DA884B9E"/>
    <w:lvl w:ilvl="0" w:tplc="F962B5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B19A9"/>
    <w:multiLevelType w:val="hybridMultilevel"/>
    <w:tmpl w:val="2BE41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C6E6F"/>
    <w:multiLevelType w:val="hybridMultilevel"/>
    <w:tmpl w:val="E43C8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A5F6E"/>
    <w:multiLevelType w:val="hybridMultilevel"/>
    <w:tmpl w:val="9A648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C03029"/>
    <w:multiLevelType w:val="hybridMultilevel"/>
    <w:tmpl w:val="9D50A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E3709"/>
    <w:multiLevelType w:val="hybridMultilevel"/>
    <w:tmpl w:val="C56AEC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125F1D"/>
    <w:multiLevelType w:val="hybridMultilevel"/>
    <w:tmpl w:val="595A3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BE5D0B"/>
    <w:multiLevelType w:val="multilevel"/>
    <w:tmpl w:val="2794C02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1F2987"/>
    <w:multiLevelType w:val="hybridMultilevel"/>
    <w:tmpl w:val="A648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A0D49"/>
    <w:multiLevelType w:val="multilevel"/>
    <w:tmpl w:val="C616C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BFF44A0"/>
    <w:multiLevelType w:val="hybridMultilevel"/>
    <w:tmpl w:val="E5E4F96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C33767E"/>
    <w:multiLevelType w:val="hybridMultilevel"/>
    <w:tmpl w:val="25688816"/>
    <w:lvl w:ilvl="0" w:tplc="0DB8AA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9580984">
    <w:abstractNumId w:val="9"/>
  </w:num>
  <w:num w:numId="2" w16cid:durableId="1440952817">
    <w:abstractNumId w:val="19"/>
  </w:num>
  <w:num w:numId="3" w16cid:durableId="952438708">
    <w:abstractNumId w:val="21"/>
  </w:num>
  <w:num w:numId="4" w16cid:durableId="191656106">
    <w:abstractNumId w:val="0"/>
  </w:num>
  <w:num w:numId="5" w16cid:durableId="1681813447">
    <w:abstractNumId w:val="23"/>
  </w:num>
  <w:num w:numId="6" w16cid:durableId="1637567862">
    <w:abstractNumId w:val="1"/>
  </w:num>
  <w:num w:numId="7" w16cid:durableId="515462194">
    <w:abstractNumId w:val="17"/>
  </w:num>
  <w:num w:numId="8" w16cid:durableId="244992502">
    <w:abstractNumId w:val="8"/>
  </w:num>
  <w:num w:numId="9" w16cid:durableId="743258463">
    <w:abstractNumId w:val="13"/>
  </w:num>
  <w:num w:numId="10" w16cid:durableId="672486813">
    <w:abstractNumId w:val="6"/>
  </w:num>
  <w:num w:numId="11" w16cid:durableId="1830170566">
    <w:abstractNumId w:val="22"/>
  </w:num>
  <w:num w:numId="12" w16cid:durableId="1013611589">
    <w:abstractNumId w:val="10"/>
  </w:num>
  <w:num w:numId="13" w16cid:durableId="500203193">
    <w:abstractNumId w:val="15"/>
  </w:num>
  <w:num w:numId="14" w16cid:durableId="848104340">
    <w:abstractNumId w:val="3"/>
  </w:num>
  <w:num w:numId="15" w16cid:durableId="842628246">
    <w:abstractNumId w:val="18"/>
  </w:num>
  <w:num w:numId="16" w16cid:durableId="76024238">
    <w:abstractNumId w:val="12"/>
  </w:num>
  <w:num w:numId="17" w16cid:durableId="1351108640">
    <w:abstractNumId w:val="14"/>
  </w:num>
  <w:num w:numId="18" w16cid:durableId="788739419">
    <w:abstractNumId w:val="5"/>
  </w:num>
  <w:num w:numId="19" w16cid:durableId="2018265067">
    <w:abstractNumId w:val="11"/>
  </w:num>
  <w:num w:numId="20" w16cid:durableId="1061172197">
    <w:abstractNumId w:val="7"/>
  </w:num>
  <w:num w:numId="21" w16cid:durableId="120654331">
    <w:abstractNumId w:val="4"/>
  </w:num>
  <w:num w:numId="22" w16cid:durableId="1376468543">
    <w:abstractNumId w:val="16"/>
  </w:num>
  <w:num w:numId="23" w16cid:durableId="1811366264">
    <w:abstractNumId w:val="20"/>
  </w:num>
  <w:num w:numId="24" w16cid:durableId="1036543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89F"/>
    <w:rsid w:val="00001750"/>
    <w:rsid w:val="00005C05"/>
    <w:rsid w:val="0001489F"/>
    <w:rsid w:val="00023F06"/>
    <w:rsid w:val="00026685"/>
    <w:rsid w:val="00027EF7"/>
    <w:rsid w:val="0006035E"/>
    <w:rsid w:val="00086ECE"/>
    <w:rsid w:val="00087651"/>
    <w:rsid w:val="000D1444"/>
    <w:rsid w:val="000D6740"/>
    <w:rsid w:val="000F24A8"/>
    <w:rsid w:val="001017A6"/>
    <w:rsid w:val="00112CDF"/>
    <w:rsid w:val="001336CF"/>
    <w:rsid w:val="00142B5A"/>
    <w:rsid w:val="00180337"/>
    <w:rsid w:val="001F423C"/>
    <w:rsid w:val="001F578D"/>
    <w:rsid w:val="00246B3C"/>
    <w:rsid w:val="00260A87"/>
    <w:rsid w:val="00266EF3"/>
    <w:rsid w:val="00274E1C"/>
    <w:rsid w:val="002A763C"/>
    <w:rsid w:val="002A7BDF"/>
    <w:rsid w:val="002D2715"/>
    <w:rsid w:val="002D7FD2"/>
    <w:rsid w:val="00307AC3"/>
    <w:rsid w:val="003150D3"/>
    <w:rsid w:val="003462AB"/>
    <w:rsid w:val="00360F22"/>
    <w:rsid w:val="003D12B9"/>
    <w:rsid w:val="0040268E"/>
    <w:rsid w:val="00414590"/>
    <w:rsid w:val="00421F0C"/>
    <w:rsid w:val="0043184F"/>
    <w:rsid w:val="00433C3C"/>
    <w:rsid w:val="0044773F"/>
    <w:rsid w:val="00464D8D"/>
    <w:rsid w:val="00466B2B"/>
    <w:rsid w:val="00482367"/>
    <w:rsid w:val="00496C84"/>
    <w:rsid w:val="004D2457"/>
    <w:rsid w:val="004D6B36"/>
    <w:rsid w:val="004E51A8"/>
    <w:rsid w:val="004F3519"/>
    <w:rsid w:val="005106A4"/>
    <w:rsid w:val="00522F53"/>
    <w:rsid w:val="00545D6E"/>
    <w:rsid w:val="00551BF9"/>
    <w:rsid w:val="0059711B"/>
    <w:rsid w:val="005A4439"/>
    <w:rsid w:val="005B04D9"/>
    <w:rsid w:val="005D35A5"/>
    <w:rsid w:val="005E1FBA"/>
    <w:rsid w:val="00603B6D"/>
    <w:rsid w:val="00614252"/>
    <w:rsid w:val="00614A68"/>
    <w:rsid w:val="0062294B"/>
    <w:rsid w:val="006A0C6E"/>
    <w:rsid w:val="006C22D2"/>
    <w:rsid w:val="00700B66"/>
    <w:rsid w:val="007048CF"/>
    <w:rsid w:val="007114BC"/>
    <w:rsid w:val="0072338D"/>
    <w:rsid w:val="0072550A"/>
    <w:rsid w:val="00726337"/>
    <w:rsid w:val="007268CF"/>
    <w:rsid w:val="00731213"/>
    <w:rsid w:val="00736C5E"/>
    <w:rsid w:val="00745EE1"/>
    <w:rsid w:val="007520EB"/>
    <w:rsid w:val="00766FFD"/>
    <w:rsid w:val="007B4457"/>
    <w:rsid w:val="007D0439"/>
    <w:rsid w:val="007F6C30"/>
    <w:rsid w:val="00827324"/>
    <w:rsid w:val="00841C56"/>
    <w:rsid w:val="0087419F"/>
    <w:rsid w:val="0088031D"/>
    <w:rsid w:val="008A0B1B"/>
    <w:rsid w:val="008A2B78"/>
    <w:rsid w:val="008C4703"/>
    <w:rsid w:val="008D3D4B"/>
    <w:rsid w:val="008D460E"/>
    <w:rsid w:val="009174A3"/>
    <w:rsid w:val="00927E7F"/>
    <w:rsid w:val="0093387D"/>
    <w:rsid w:val="009671FC"/>
    <w:rsid w:val="00983539"/>
    <w:rsid w:val="009A39FF"/>
    <w:rsid w:val="009B003E"/>
    <w:rsid w:val="009F51CE"/>
    <w:rsid w:val="00A54A51"/>
    <w:rsid w:val="00AB294E"/>
    <w:rsid w:val="00B36B14"/>
    <w:rsid w:val="00B5199E"/>
    <w:rsid w:val="00B65289"/>
    <w:rsid w:val="00BA73C2"/>
    <w:rsid w:val="00BC31B0"/>
    <w:rsid w:val="00BC5C55"/>
    <w:rsid w:val="00BF5B62"/>
    <w:rsid w:val="00C27D18"/>
    <w:rsid w:val="00C379BE"/>
    <w:rsid w:val="00C53778"/>
    <w:rsid w:val="00C63D35"/>
    <w:rsid w:val="00C64701"/>
    <w:rsid w:val="00CB43AE"/>
    <w:rsid w:val="00CD3682"/>
    <w:rsid w:val="00CD797C"/>
    <w:rsid w:val="00CE01F6"/>
    <w:rsid w:val="00CE1943"/>
    <w:rsid w:val="00D35A6F"/>
    <w:rsid w:val="00D473AE"/>
    <w:rsid w:val="00D5038C"/>
    <w:rsid w:val="00D71BFA"/>
    <w:rsid w:val="00DD4BA9"/>
    <w:rsid w:val="00DE091A"/>
    <w:rsid w:val="00E10BD4"/>
    <w:rsid w:val="00E26AD8"/>
    <w:rsid w:val="00E330A9"/>
    <w:rsid w:val="00E35156"/>
    <w:rsid w:val="00E54E89"/>
    <w:rsid w:val="00E64147"/>
    <w:rsid w:val="00E75B4F"/>
    <w:rsid w:val="00E76CAA"/>
    <w:rsid w:val="00ED085E"/>
    <w:rsid w:val="00EE5251"/>
    <w:rsid w:val="00F2575F"/>
    <w:rsid w:val="00F40B31"/>
    <w:rsid w:val="00FB18D3"/>
    <w:rsid w:val="00FB2432"/>
    <w:rsid w:val="00FE24FD"/>
    <w:rsid w:val="00FE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DC60"/>
  <w15:docId w15:val="{B8FC7F4D-FD94-42E5-9E14-EE205232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A4439"/>
    <w:pPr>
      <w:tabs>
        <w:tab w:val="center" w:pos="4680"/>
        <w:tab w:val="right" w:pos="9360"/>
      </w:tabs>
      <w:spacing w:line="240" w:lineRule="auto"/>
    </w:pPr>
  </w:style>
  <w:style w:type="character" w:customStyle="1" w:styleId="HeaderChar">
    <w:name w:val="Header Char"/>
    <w:basedOn w:val="DefaultParagraphFont"/>
    <w:link w:val="Header"/>
    <w:uiPriority w:val="99"/>
    <w:rsid w:val="005A4439"/>
  </w:style>
  <w:style w:type="paragraph" w:styleId="Footer">
    <w:name w:val="footer"/>
    <w:basedOn w:val="Normal"/>
    <w:link w:val="FooterChar"/>
    <w:uiPriority w:val="99"/>
    <w:unhideWhenUsed/>
    <w:rsid w:val="005A4439"/>
    <w:pPr>
      <w:tabs>
        <w:tab w:val="center" w:pos="4680"/>
        <w:tab w:val="right" w:pos="9360"/>
      </w:tabs>
      <w:spacing w:line="240" w:lineRule="auto"/>
    </w:pPr>
  </w:style>
  <w:style w:type="character" w:customStyle="1" w:styleId="FooterChar">
    <w:name w:val="Footer Char"/>
    <w:basedOn w:val="DefaultParagraphFont"/>
    <w:link w:val="Footer"/>
    <w:uiPriority w:val="99"/>
    <w:rsid w:val="005A4439"/>
  </w:style>
  <w:style w:type="paragraph" w:styleId="ListParagraph">
    <w:name w:val="List Paragraph"/>
    <w:basedOn w:val="Normal"/>
    <w:uiPriority w:val="34"/>
    <w:qFormat/>
    <w:rsid w:val="00E75B4F"/>
    <w:pPr>
      <w:ind w:left="720"/>
      <w:contextualSpacing/>
    </w:pPr>
  </w:style>
  <w:style w:type="character" w:styleId="Hyperlink">
    <w:name w:val="Hyperlink"/>
    <w:basedOn w:val="DefaultParagraphFont"/>
    <w:uiPriority w:val="99"/>
    <w:unhideWhenUsed/>
    <w:rsid w:val="001F423C"/>
    <w:rPr>
      <w:color w:val="0000FF" w:themeColor="hyperlink"/>
      <w:u w:val="single"/>
    </w:rPr>
  </w:style>
  <w:style w:type="character" w:styleId="UnresolvedMention">
    <w:name w:val="Unresolved Mention"/>
    <w:basedOn w:val="DefaultParagraphFont"/>
    <w:uiPriority w:val="99"/>
    <w:semiHidden/>
    <w:unhideWhenUsed/>
    <w:rsid w:val="001F423C"/>
    <w:rPr>
      <w:color w:val="605E5C"/>
      <w:shd w:val="clear" w:color="auto" w:fill="E1DFDD"/>
    </w:rPr>
  </w:style>
  <w:style w:type="paragraph" w:styleId="Revision">
    <w:name w:val="Revision"/>
    <w:hidden/>
    <w:uiPriority w:val="99"/>
    <w:semiHidden/>
    <w:rsid w:val="00C63D35"/>
    <w:pPr>
      <w:spacing w:line="240" w:lineRule="auto"/>
    </w:pPr>
  </w:style>
  <w:style w:type="table" w:styleId="TableGrid">
    <w:name w:val="Table Grid"/>
    <w:basedOn w:val="TableNormal"/>
    <w:uiPriority w:val="39"/>
    <w:rsid w:val="008C47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762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3</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 Rippstein</dc:creator>
  <cp:lastModifiedBy>Holly Soule</cp:lastModifiedBy>
  <cp:revision>7</cp:revision>
  <dcterms:created xsi:type="dcterms:W3CDTF">2024-12-02T14:35:00Z</dcterms:created>
  <dcterms:modified xsi:type="dcterms:W3CDTF">2024-12-03T21:05:00Z</dcterms:modified>
</cp:coreProperties>
</file>