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F9268" w14:textId="53B15AED" w:rsidR="00D17172" w:rsidRPr="00AB7AF8" w:rsidRDefault="003316E2" w:rsidP="00F60126">
      <w:pPr>
        <w:rPr>
          <w:rFonts w:ascii="Lato Light" w:hAnsi="Lato Light"/>
          <w:b/>
          <w:bCs/>
        </w:rPr>
      </w:pPr>
      <w:r w:rsidRPr="00AB7AF8">
        <w:rPr>
          <w:rFonts w:ascii="Lato Light" w:hAnsi="Lato Light"/>
          <w:b/>
          <w:bCs/>
        </w:rPr>
        <w:t>Hot Topics:</w:t>
      </w:r>
    </w:p>
    <w:p w14:paraId="50EC4CEB" w14:textId="77777777" w:rsidR="00A43337" w:rsidRPr="00AB7AF8" w:rsidRDefault="00A43337" w:rsidP="00A43337">
      <w:pPr>
        <w:spacing w:after="0" w:line="240" w:lineRule="auto"/>
        <w:rPr>
          <w:rFonts w:ascii="Lato Light" w:hAnsi="Lato Light"/>
          <w:b/>
          <w:bCs/>
        </w:rPr>
      </w:pPr>
      <w:bookmarkStart w:id="0" w:name="_Hlk172711326"/>
      <w:r w:rsidRPr="00AB7AF8">
        <w:rPr>
          <w:rFonts w:ascii="Lato Light" w:hAnsi="Lato Light"/>
          <w:b/>
          <w:bCs/>
        </w:rPr>
        <w:t>Attestations for Gag Clause Prohibition Compliance Due to CMS by December 31, 2024</w:t>
      </w:r>
    </w:p>
    <w:p w14:paraId="144FB5C1" w14:textId="77777777" w:rsidR="00A43337" w:rsidRPr="00AB7AF8" w:rsidRDefault="00A43337" w:rsidP="00A43337">
      <w:pPr>
        <w:spacing w:after="0" w:line="240" w:lineRule="auto"/>
        <w:rPr>
          <w:rFonts w:ascii="Lato Light" w:hAnsi="Lato Light"/>
          <w:b/>
          <w:bCs/>
        </w:rPr>
      </w:pPr>
    </w:p>
    <w:p w14:paraId="50FC738C" w14:textId="4D3FF4C8" w:rsidR="00A43337" w:rsidRPr="00AB7AF8" w:rsidRDefault="00A43337" w:rsidP="00A43337">
      <w:pPr>
        <w:spacing w:after="0" w:line="240" w:lineRule="auto"/>
        <w:rPr>
          <w:rFonts w:ascii="Lato Light" w:hAnsi="Lato Light"/>
        </w:rPr>
      </w:pPr>
      <w:r w:rsidRPr="00AB7AF8">
        <w:rPr>
          <w:rFonts w:ascii="Lato Light" w:hAnsi="Lato Light"/>
        </w:rPr>
        <w:t xml:space="preserve">The Departments issued joint </w:t>
      </w:r>
      <w:hyperlink r:id="rId5" w:history="1">
        <w:r w:rsidRPr="00AB7AF8">
          <w:rPr>
            <w:rStyle w:val="Hyperlink"/>
            <w:rFonts w:ascii="Lato Light" w:hAnsi="Lato Light"/>
          </w:rPr>
          <w:t>FAQ guidance</w:t>
        </w:r>
      </w:hyperlink>
      <w:r w:rsidRPr="00AB7AF8">
        <w:rPr>
          <w:rFonts w:ascii="Lato Light" w:hAnsi="Lato Light"/>
        </w:rPr>
        <w:t xml:space="preserve"> related to compliance with the prohibition of “gag clauses” as required under the Consolidated Appropriations Act of 2021 (CAA). Specifically, the rules require plans and issuers to submit a compliance attestation no later than December 31, 2024 and </w:t>
      </w:r>
      <w:r w:rsidR="00C059DE">
        <w:rPr>
          <w:rFonts w:ascii="Lato Light" w:hAnsi="Lato Light"/>
        </w:rPr>
        <w:t>annually each year</w:t>
      </w:r>
      <w:r w:rsidRPr="00AB7AF8">
        <w:rPr>
          <w:rFonts w:ascii="Lato Light" w:hAnsi="Lato Light"/>
        </w:rPr>
        <w:t xml:space="preserve"> by December 31</w:t>
      </w:r>
      <w:r w:rsidRPr="00AB7AF8">
        <w:rPr>
          <w:rFonts w:ascii="Lato Light" w:hAnsi="Lato Light"/>
          <w:vertAlign w:val="superscript"/>
        </w:rPr>
        <w:t>st</w:t>
      </w:r>
      <w:r w:rsidRPr="00AB7AF8">
        <w:rPr>
          <w:rFonts w:ascii="Lato Light" w:hAnsi="Lato Light"/>
        </w:rPr>
        <w:t>.</w:t>
      </w:r>
    </w:p>
    <w:p w14:paraId="7FE991CE" w14:textId="77777777" w:rsidR="00A43337" w:rsidRPr="00AB7AF8" w:rsidRDefault="00A43337" w:rsidP="00A43337">
      <w:pPr>
        <w:spacing w:after="0" w:line="240" w:lineRule="auto"/>
        <w:rPr>
          <w:rFonts w:ascii="Lato Light" w:hAnsi="Lato Light"/>
        </w:rPr>
      </w:pPr>
    </w:p>
    <w:p w14:paraId="3E8B84C5" w14:textId="628EAEC7" w:rsidR="00A43337" w:rsidRPr="00AB7AF8" w:rsidRDefault="00A43337" w:rsidP="00A43337">
      <w:pPr>
        <w:spacing w:after="0" w:line="240" w:lineRule="auto"/>
        <w:rPr>
          <w:rFonts w:ascii="Lato Light" w:hAnsi="Lato Light"/>
          <w:b/>
          <w:bCs/>
        </w:rPr>
      </w:pPr>
      <w:r w:rsidRPr="00AB7AF8">
        <w:rPr>
          <w:rFonts w:ascii="Lato Light" w:hAnsi="Lato Light"/>
        </w:rPr>
        <w:t xml:space="preserve"> </w:t>
      </w:r>
      <w:bookmarkStart w:id="1" w:name="_Hlk180995670"/>
      <w:bookmarkStart w:id="2" w:name="_Hlk175896547"/>
      <w:r w:rsidR="00DD266E">
        <w:rPr>
          <w:rFonts w:ascii="Lato Light" w:hAnsi="Lato Light"/>
          <w:b/>
          <w:bCs/>
        </w:rPr>
        <w:t>Applies To</w:t>
      </w:r>
      <w:r w:rsidRPr="00AB7AF8">
        <w:rPr>
          <w:rFonts w:ascii="Lato Light" w:hAnsi="Lato Light"/>
          <w:b/>
          <w:bCs/>
        </w:rPr>
        <w:t xml:space="preserve">: </w:t>
      </w:r>
    </w:p>
    <w:p w14:paraId="09715A01" w14:textId="77777777" w:rsidR="00A43337" w:rsidRPr="00AB7AF8" w:rsidRDefault="00A43337" w:rsidP="00A43337">
      <w:pPr>
        <w:numPr>
          <w:ilvl w:val="0"/>
          <w:numId w:val="16"/>
        </w:numPr>
        <w:spacing w:after="0" w:line="240" w:lineRule="auto"/>
        <w:rPr>
          <w:rFonts w:ascii="Lato Light" w:hAnsi="Lato Light"/>
        </w:rPr>
      </w:pPr>
      <w:r w:rsidRPr="00AB7AF8">
        <w:rPr>
          <w:rFonts w:ascii="Lato Light" w:hAnsi="Lato Light"/>
        </w:rPr>
        <w:t xml:space="preserve">Large employers with fully-insured and self-funded health plans </w:t>
      </w:r>
    </w:p>
    <w:p w14:paraId="5C968312" w14:textId="77777777" w:rsidR="00A43337" w:rsidRPr="00AB7AF8" w:rsidRDefault="00A43337" w:rsidP="00A43337">
      <w:pPr>
        <w:numPr>
          <w:ilvl w:val="0"/>
          <w:numId w:val="16"/>
        </w:numPr>
        <w:spacing w:after="0" w:line="240" w:lineRule="auto"/>
        <w:rPr>
          <w:rFonts w:ascii="Lato Light" w:hAnsi="Lato Light"/>
        </w:rPr>
      </w:pPr>
      <w:r w:rsidRPr="00AB7AF8">
        <w:rPr>
          <w:rFonts w:ascii="Lato Light" w:hAnsi="Lato Light"/>
        </w:rPr>
        <w:t>Small employers with fully-insured and level-funded health plans</w:t>
      </w:r>
    </w:p>
    <w:bookmarkEnd w:id="0"/>
    <w:bookmarkEnd w:id="1"/>
    <w:p w14:paraId="152F37E9" w14:textId="77777777" w:rsidR="00A43337" w:rsidRPr="00AB7AF8" w:rsidRDefault="00A43337" w:rsidP="00A43337">
      <w:pPr>
        <w:spacing w:after="0" w:line="240" w:lineRule="auto"/>
        <w:rPr>
          <w:rFonts w:ascii="Lato Light" w:hAnsi="Lato Light"/>
        </w:rPr>
      </w:pPr>
    </w:p>
    <w:p w14:paraId="4F80AE79" w14:textId="77777777" w:rsidR="00A43337" w:rsidRPr="00AB7AF8" w:rsidRDefault="00A43337" w:rsidP="00A43337">
      <w:pPr>
        <w:spacing w:after="0" w:line="240" w:lineRule="auto"/>
        <w:rPr>
          <w:rFonts w:ascii="Lato Light" w:hAnsi="Lato Light"/>
          <w:b/>
          <w:bCs/>
        </w:rPr>
      </w:pPr>
      <w:r w:rsidRPr="00AB7AF8">
        <w:rPr>
          <w:rFonts w:ascii="Lato Light" w:hAnsi="Lato Light"/>
          <w:b/>
          <w:bCs/>
        </w:rPr>
        <w:t>Go Deeper:</w:t>
      </w:r>
    </w:p>
    <w:bookmarkEnd w:id="2"/>
    <w:p w14:paraId="16B24714" w14:textId="77777777" w:rsidR="00A43337" w:rsidRPr="00AB7AF8" w:rsidRDefault="00A43337" w:rsidP="00A43337">
      <w:pPr>
        <w:spacing w:after="0" w:line="240" w:lineRule="auto"/>
        <w:rPr>
          <w:rFonts w:ascii="Lato Light" w:hAnsi="Lato Light"/>
        </w:rPr>
      </w:pPr>
    </w:p>
    <w:p w14:paraId="505D8C0D" w14:textId="77777777" w:rsidR="00A43337" w:rsidRPr="00AB7AF8" w:rsidRDefault="00A43337" w:rsidP="00A43337">
      <w:pPr>
        <w:spacing w:after="0" w:line="240" w:lineRule="auto"/>
        <w:rPr>
          <w:rFonts w:ascii="Lato Light" w:hAnsi="Lato Light"/>
          <w:b/>
          <w:bCs/>
          <w:i/>
          <w:iCs/>
        </w:rPr>
      </w:pPr>
      <w:r w:rsidRPr="00AB7AF8">
        <w:rPr>
          <w:rFonts w:ascii="Lato Light" w:hAnsi="Lato Light"/>
          <w:b/>
          <w:bCs/>
          <w:i/>
          <w:iCs/>
        </w:rPr>
        <w:t>What is a gag clause and what is prohibited?</w:t>
      </w:r>
    </w:p>
    <w:p w14:paraId="2FD2BAFF" w14:textId="77777777" w:rsidR="00A43337" w:rsidRPr="00AB7AF8" w:rsidRDefault="00A43337" w:rsidP="00A43337">
      <w:pPr>
        <w:spacing w:after="0" w:line="240" w:lineRule="auto"/>
        <w:rPr>
          <w:rFonts w:ascii="Lato Light" w:hAnsi="Lato Light"/>
        </w:rPr>
      </w:pPr>
    </w:p>
    <w:p w14:paraId="425C8E2C" w14:textId="77777777" w:rsidR="00A43337" w:rsidRPr="00AB7AF8" w:rsidRDefault="00A43337" w:rsidP="00A43337">
      <w:pPr>
        <w:spacing w:after="0" w:line="240" w:lineRule="auto"/>
        <w:rPr>
          <w:rFonts w:ascii="Lato Light" w:hAnsi="Lato Light"/>
        </w:rPr>
      </w:pPr>
      <w:r w:rsidRPr="00AB7AF8">
        <w:rPr>
          <w:rFonts w:ascii="Lato Light" w:hAnsi="Lato Light"/>
        </w:rPr>
        <w:t xml:space="preserve">The CAA prohibits group health plans and insurance carriers from entering into agreements with providers, TPAs, or other service providers whose agreements include language that would constitute a “gag clause,” specifically: </w:t>
      </w:r>
    </w:p>
    <w:p w14:paraId="73C6F709" w14:textId="77777777" w:rsidR="00A43337" w:rsidRPr="00AB7AF8" w:rsidRDefault="00A43337" w:rsidP="00A43337">
      <w:pPr>
        <w:spacing w:after="0" w:line="240" w:lineRule="auto"/>
        <w:rPr>
          <w:rFonts w:ascii="Lato Light" w:hAnsi="Lato Light"/>
        </w:rPr>
      </w:pPr>
    </w:p>
    <w:p w14:paraId="3300184B" w14:textId="77777777" w:rsidR="00A43337" w:rsidRPr="00AB7AF8" w:rsidRDefault="00A43337" w:rsidP="00A43337">
      <w:pPr>
        <w:pStyle w:val="ListParagraph"/>
        <w:numPr>
          <w:ilvl w:val="0"/>
          <w:numId w:val="14"/>
        </w:numPr>
        <w:spacing w:after="0" w:line="240" w:lineRule="auto"/>
        <w:rPr>
          <w:rFonts w:ascii="Lato Light" w:hAnsi="Lato Light"/>
        </w:rPr>
      </w:pPr>
      <w:r w:rsidRPr="00AB7AF8">
        <w:rPr>
          <w:rFonts w:ascii="Lato Light" w:hAnsi="Lato Light"/>
        </w:rPr>
        <w:t>restrictions on the disclosure of provider-specific cost or quality of care information or data to referring providers, the employer plan sponsor, participants, beneficiaries, or enrollees, or individuals eligible to become participants, beneficiaries, or enrollees of the plan or coverage;</w:t>
      </w:r>
    </w:p>
    <w:p w14:paraId="25B0D12F" w14:textId="77777777" w:rsidR="00A43337" w:rsidRPr="00AB7AF8" w:rsidRDefault="00A43337" w:rsidP="00A43337">
      <w:pPr>
        <w:spacing w:after="0" w:line="240" w:lineRule="auto"/>
        <w:rPr>
          <w:rFonts w:ascii="Lato Light" w:hAnsi="Lato Light"/>
        </w:rPr>
      </w:pPr>
    </w:p>
    <w:p w14:paraId="0B55CD0C" w14:textId="77777777" w:rsidR="00A43337" w:rsidRPr="00AB7AF8" w:rsidRDefault="00A43337" w:rsidP="00A43337">
      <w:pPr>
        <w:pStyle w:val="ListParagraph"/>
        <w:numPr>
          <w:ilvl w:val="0"/>
          <w:numId w:val="14"/>
        </w:numPr>
        <w:spacing w:after="0" w:line="240" w:lineRule="auto"/>
        <w:rPr>
          <w:rFonts w:ascii="Lato Light" w:hAnsi="Lato Light"/>
        </w:rPr>
      </w:pPr>
      <w:r w:rsidRPr="00AB7AF8">
        <w:rPr>
          <w:rFonts w:ascii="Lato Light" w:hAnsi="Lato Light"/>
        </w:rPr>
        <w:t xml:space="preserve">restrictions on electronic access to de-identified claims and encounter information or data for each participant, beneficiary, or enrollee upon request and consistent with the privacy regulations promulgated pursuant to section 246(c) of HIPAA, GINA, and the ADA; and </w:t>
      </w:r>
    </w:p>
    <w:p w14:paraId="75A7F815" w14:textId="77777777" w:rsidR="00A43337" w:rsidRPr="00AB7AF8" w:rsidRDefault="00A43337" w:rsidP="00A43337">
      <w:pPr>
        <w:spacing w:after="0" w:line="240" w:lineRule="auto"/>
        <w:rPr>
          <w:rFonts w:ascii="Lato Light" w:hAnsi="Lato Light"/>
        </w:rPr>
      </w:pPr>
    </w:p>
    <w:p w14:paraId="47E53CB5" w14:textId="77777777" w:rsidR="00A43337" w:rsidRPr="00AB7AF8" w:rsidRDefault="00A43337" w:rsidP="00A43337">
      <w:pPr>
        <w:pStyle w:val="ListParagraph"/>
        <w:numPr>
          <w:ilvl w:val="0"/>
          <w:numId w:val="14"/>
        </w:numPr>
        <w:spacing w:after="0" w:line="240" w:lineRule="auto"/>
        <w:rPr>
          <w:rFonts w:ascii="Lato Light" w:hAnsi="Lato Light"/>
        </w:rPr>
      </w:pPr>
      <w:r w:rsidRPr="00AB7AF8">
        <w:rPr>
          <w:rFonts w:ascii="Lato Light" w:hAnsi="Lato Light"/>
        </w:rPr>
        <w:t>restrictions on sharing information or data described in (1) and (2), or directing that such information or data be shared, with a business associate, as defined in 45 CFR 160.103, consistent with applicable privacy regulations.</w:t>
      </w:r>
    </w:p>
    <w:p w14:paraId="4056C7FE" w14:textId="77777777" w:rsidR="00A43337" w:rsidRPr="00AB7AF8" w:rsidRDefault="00A43337" w:rsidP="00A43337">
      <w:pPr>
        <w:spacing w:after="0" w:line="240" w:lineRule="auto"/>
        <w:rPr>
          <w:rFonts w:ascii="Lato Light" w:hAnsi="Lato Light"/>
        </w:rPr>
      </w:pPr>
    </w:p>
    <w:p w14:paraId="5C4325C0" w14:textId="77777777" w:rsidR="00A43337" w:rsidRPr="00AB7AF8" w:rsidRDefault="00A43337" w:rsidP="00A43337">
      <w:pPr>
        <w:spacing w:after="0" w:line="240" w:lineRule="auto"/>
        <w:rPr>
          <w:rFonts w:ascii="Lato Light" w:hAnsi="Lato Light"/>
        </w:rPr>
      </w:pPr>
      <w:r w:rsidRPr="00AB7AF8">
        <w:rPr>
          <w:rFonts w:ascii="Lato Light" w:hAnsi="Lato Light"/>
        </w:rPr>
        <w:t>For example, if a contract between a TPA and a group health plan states that the plan will pay providers at rates designated as “Point of Service Rates,” but the TPA considers those rates to be proprietary and therefore includes language in the contract stating that the plan may not disclose the rates to participants, that language prohibiting disclosure would be considered a prohibited gag clause (would not be allowed).</w:t>
      </w:r>
    </w:p>
    <w:p w14:paraId="170C25B9" w14:textId="77777777" w:rsidR="00A43337" w:rsidRPr="00AB7AF8" w:rsidRDefault="00A43337" w:rsidP="00A43337">
      <w:pPr>
        <w:spacing w:after="0" w:line="240" w:lineRule="auto"/>
        <w:rPr>
          <w:rFonts w:ascii="Lato Light" w:hAnsi="Lato Light"/>
        </w:rPr>
      </w:pPr>
    </w:p>
    <w:p w14:paraId="480FDE0F" w14:textId="77777777" w:rsidR="00A43337" w:rsidRPr="00AB7AF8" w:rsidRDefault="00A43337" w:rsidP="00A43337">
      <w:pPr>
        <w:spacing w:after="0" w:line="240" w:lineRule="auto"/>
        <w:rPr>
          <w:rFonts w:ascii="Lato Light" w:hAnsi="Lato Light"/>
        </w:rPr>
      </w:pPr>
      <w:r w:rsidRPr="00AB7AF8">
        <w:rPr>
          <w:rFonts w:ascii="Lato Light" w:hAnsi="Lato Light"/>
        </w:rPr>
        <w:t xml:space="preserve">As another example, if a contract between a TPA and a plan says that the employer’s access to provider-specific cost and quality of care information is only at the discretion of the TPA, that contractual provision would be considered a prohibited gag clause. </w:t>
      </w:r>
    </w:p>
    <w:p w14:paraId="23C6B39A" w14:textId="77777777" w:rsidR="00A43337" w:rsidRPr="00AB7AF8" w:rsidRDefault="00A43337" w:rsidP="00A43337">
      <w:pPr>
        <w:spacing w:after="0" w:line="240" w:lineRule="auto"/>
        <w:rPr>
          <w:rFonts w:ascii="Lato Light" w:hAnsi="Lato Light"/>
        </w:rPr>
      </w:pPr>
    </w:p>
    <w:p w14:paraId="18E4DFBB" w14:textId="77777777" w:rsidR="00A43337" w:rsidRPr="00AB7AF8" w:rsidRDefault="00A43337" w:rsidP="00A43337">
      <w:pPr>
        <w:spacing w:after="0" w:line="240" w:lineRule="auto"/>
        <w:rPr>
          <w:rFonts w:ascii="Lato Light" w:hAnsi="Lato Light"/>
        </w:rPr>
      </w:pPr>
      <w:r w:rsidRPr="00AB7AF8">
        <w:rPr>
          <w:rFonts w:ascii="Lato Light" w:hAnsi="Lato Light"/>
        </w:rPr>
        <w:t xml:space="preserve">Self-insured employer plan sponsors and fully-insured carriers must ensure that their agreements with health care providers, networks or associations of providers, or other service providers offering access to a network of providers do not contain these or other provisions that violate the prohibition on gag clauses. However, a health care provider, network or association of providers, </w:t>
      </w:r>
      <w:r w:rsidRPr="00AB7AF8">
        <w:rPr>
          <w:rFonts w:ascii="Lato Light" w:hAnsi="Lato Light"/>
        </w:rPr>
        <w:lastRenderedPageBreak/>
        <w:t>or other service provider may place reasonable restrictions on the public disclosure of this information.</w:t>
      </w:r>
    </w:p>
    <w:p w14:paraId="1F67D909" w14:textId="77777777" w:rsidR="00A43337" w:rsidRPr="00AB7AF8" w:rsidRDefault="00A43337" w:rsidP="00A43337">
      <w:pPr>
        <w:spacing w:after="0" w:line="240" w:lineRule="auto"/>
        <w:rPr>
          <w:rFonts w:ascii="Lato Light" w:hAnsi="Lato Light"/>
        </w:rPr>
      </w:pPr>
    </w:p>
    <w:p w14:paraId="6DFDE869" w14:textId="77777777" w:rsidR="00A43337" w:rsidRPr="00AB7AF8" w:rsidRDefault="00A43337" w:rsidP="00A43337">
      <w:pPr>
        <w:spacing w:after="0" w:line="240" w:lineRule="auto"/>
        <w:rPr>
          <w:rFonts w:ascii="Lato Light" w:hAnsi="Lato Light"/>
          <w:b/>
          <w:bCs/>
          <w:i/>
          <w:iCs/>
        </w:rPr>
      </w:pPr>
      <w:r w:rsidRPr="00AB7AF8">
        <w:rPr>
          <w:rFonts w:ascii="Lato Light" w:hAnsi="Lato Light"/>
          <w:b/>
          <w:bCs/>
          <w:i/>
          <w:iCs/>
        </w:rPr>
        <w:t>What attestation is required?</w:t>
      </w:r>
    </w:p>
    <w:p w14:paraId="40CA028D" w14:textId="77777777" w:rsidR="00A43337" w:rsidRPr="00AB7AF8" w:rsidRDefault="00A43337" w:rsidP="00A43337">
      <w:pPr>
        <w:spacing w:after="0" w:line="240" w:lineRule="auto"/>
        <w:rPr>
          <w:rFonts w:ascii="Lato Light" w:hAnsi="Lato Light"/>
        </w:rPr>
      </w:pPr>
    </w:p>
    <w:p w14:paraId="20D09F2F" w14:textId="77777777" w:rsidR="00A43337" w:rsidRPr="00AB7AF8" w:rsidRDefault="00A43337" w:rsidP="00A43337">
      <w:pPr>
        <w:spacing w:after="0" w:line="240" w:lineRule="auto"/>
        <w:rPr>
          <w:rFonts w:ascii="Lato Light" w:hAnsi="Lato Light"/>
        </w:rPr>
      </w:pPr>
      <w:r w:rsidRPr="00AB7AF8">
        <w:rPr>
          <w:rFonts w:ascii="Lato Light" w:hAnsi="Lato Light"/>
        </w:rPr>
        <w:t xml:space="preserve">In addition to ensuring agreements do not contain such gag clauses, ALL plans and issuers are required to submit a Gag Clause Prohibition Compliance Attestation (GCPCA) directly to CMS online at  </w:t>
      </w:r>
      <w:hyperlink r:id="rId6" w:history="1">
        <w:r w:rsidRPr="00AB7AF8">
          <w:rPr>
            <w:rStyle w:val="Hyperlink"/>
            <w:rFonts w:ascii="Lato Light" w:hAnsi="Lato Light"/>
          </w:rPr>
          <w:t>https://hios.cms.gov/HIOS-GCPCA-UI</w:t>
        </w:r>
      </w:hyperlink>
      <w:r w:rsidRPr="00AB7AF8">
        <w:rPr>
          <w:rFonts w:ascii="Lato Light" w:hAnsi="Lato Light"/>
        </w:rPr>
        <w:t xml:space="preserve"> no later than December 31, 2024 and each year thereafter.</w:t>
      </w:r>
    </w:p>
    <w:p w14:paraId="7E779E3E" w14:textId="77777777" w:rsidR="00A43337" w:rsidRPr="00AB7AF8" w:rsidRDefault="00A43337" w:rsidP="00A43337">
      <w:pPr>
        <w:spacing w:after="0" w:line="240" w:lineRule="auto"/>
        <w:rPr>
          <w:rFonts w:ascii="Lato Light" w:hAnsi="Lato Light"/>
        </w:rPr>
      </w:pPr>
    </w:p>
    <w:p w14:paraId="4DFEBE5D" w14:textId="77777777" w:rsidR="00A43337" w:rsidRPr="00AB7AF8" w:rsidRDefault="00A43337" w:rsidP="00A43337">
      <w:pPr>
        <w:spacing w:after="0" w:line="240" w:lineRule="auto"/>
        <w:rPr>
          <w:rFonts w:ascii="Lato Light" w:hAnsi="Lato Light"/>
          <w:b/>
          <w:bCs/>
          <w:i/>
          <w:iCs/>
        </w:rPr>
      </w:pPr>
      <w:r w:rsidRPr="00AB7AF8">
        <w:rPr>
          <w:rFonts w:ascii="Lato Light" w:hAnsi="Lato Light"/>
          <w:b/>
          <w:bCs/>
          <w:i/>
          <w:iCs/>
        </w:rPr>
        <w:t>Will the carrier or TPA submit the GCPCA on the employer’s behalf?</w:t>
      </w:r>
    </w:p>
    <w:p w14:paraId="40D9C9C8" w14:textId="77777777" w:rsidR="00A43337" w:rsidRPr="00AB7AF8" w:rsidRDefault="00A43337" w:rsidP="00A43337">
      <w:pPr>
        <w:spacing w:after="0" w:line="240" w:lineRule="auto"/>
        <w:rPr>
          <w:rFonts w:ascii="Lato Light" w:hAnsi="Lato Light"/>
        </w:rPr>
      </w:pPr>
    </w:p>
    <w:p w14:paraId="7E1EC8E1" w14:textId="77777777" w:rsidR="00A43337" w:rsidRPr="00AB7AF8" w:rsidRDefault="00A43337" w:rsidP="00A43337">
      <w:pPr>
        <w:spacing w:after="0" w:line="240" w:lineRule="auto"/>
        <w:rPr>
          <w:rFonts w:ascii="Lato Light" w:hAnsi="Lato Light"/>
        </w:rPr>
      </w:pPr>
      <w:r w:rsidRPr="00AB7AF8">
        <w:rPr>
          <w:rFonts w:ascii="Lato Light" w:hAnsi="Lato Light"/>
        </w:rPr>
        <w:t xml:space="preserve">Employers and advisors will need to confirm with carriers, service providers and TPAs on what level of assistance will be provided. </w:t>
      </w:r>
    </w:p>
    <w:p w14:paraId="7E0D6E06" w14:textId="77777777" w:rsidR="00A43337" w:rsidRPr="00AB7AF8" w:rsidRDefault="00A43337" w:rsidP="00A43337">
      <w:pPr>
        <w:spacing w:after="0" w:line="240" w:lineRule="auto"/>
        <w:rPr>
          <w:rFonts w:ascii="Lato Light" w:hAnsi="Lato Light"/>
        </w:rPr>
      </w:pPr>
    </w:p>
    <w:p w14:paraId="6442D9FB" w14:textId="77777777" w:rsidR="00A43337" w:rsidRPr="00AB7AF8" w:rsidRDefault="00A43337" w:rsidP="00A43337">
      <w:pPr>
        <w:pStyle w:val="ListParagraph"/>
        <w:numPr>
          <w:ilvl w:val="0"/>
          <w:numId w:val="15"/>
        </w:numPr>
        <w:spacing w:after="0" w:line="240" w:lineRule="auto"/>
        <w:rPr>
          <w:rFonts w:ascii="Lato Light" w:hAnsi="Lato Light"/>
        </w:rPr>
      </w:pPr>
      <w:r w:rsidRPr="00AB7AF8">
        <w:rPr>
          <w:rFonts w:ascii="Lato Light" w:hAnsi="Lato Light"/>
          <w:i/>
          <w:iCs/>
        </w:rPr>
        <w:t>Fully-insured group health plans</w:t>
      </w:r>
      <w:r w:rsidRPr="00AB7AF8">
        <w:rPr>
          <w:rFonts w:ascii="Lato Light" w:hAnsi="Lato Light"/>
        </w:rPr>
        <w:t xml:space="preserve">: the plan sponsor and the insurance carrier are </w:t>
      </w:r>
      <w:r w:rsidRPr="00AB7AF8">
        <w:rPr>
          <w:rFonts w:ascii="Lato Light" w:hAnsi="Lato Light"/>
          <w:b/>
          <w:bCs/>
        </w:rPr>
        <w:t>both</w:t>
      </w:r>
      <w:r w:rsidRPr="00AB7AF8">
        <w:rPr>
          <w:rFonts w:ascii="Lato Light" w:hAnsi="Lato Light"/>
        </w:rPr>
        <w:t xml:space="preserve"> required to submit the GCPCA each year by December 31</w:t>
      </w:r>
      <w:r w:rsidRPr="00AB7AF8">
        <w:rPr>
          <w:rFonts w:ascii="Lato Light" w:hAnsi="Lato Light"/>
          <w:vertAlign w:val="superscript"/>
        </w:rPr>
        <w:t>st</w:t>
      </w:r>
      <w:r w:rsidRPr="00AB7AF8">
        <w:rPr>
          <w:rFonts w:ascii="Lato Light" w:hAnsi="Lato Light"/>
        </w:rPr>
        <w:t xml:space="preserve">. However, a fully-insured plan sponsor may shift liability to the carrier through a written agreement. </w:t>
      </w:r>
    </w:p>
    <w:p w14:paraId="73B1717C" w14:textId="77777777" w:rsidR="00A43337" w:rsidRPr="00AB7AF8" w:rsidRDefault="00A43337" w:rsidP="00A43337">
      <w:pPr>
        <w:spacing w:after="0" w:line="240" w:lineRule="auto"/>
        <w:rPr>
          <w:rFonts w:ascii="Lato Light" w:hAnsi="Lato Light"/>
        </w:rPr>
      </w:pPr>
    </w:p>
    <w:p w14:paraId="795B932F" w14:textId="77777777" w:rsidR="00A43337" w:rsidRPr="00AB7AF8" w:rsidRDefault="00A43337" w:rsidP="00A43337">
      <w:pPr>
        <w:pStyle w:val="ListParagraph"/>
        <w:numPr>
          <w:ilvl w:val="0"/>
          <w:numId w:val="15"/>
        </w:numPr>
        <w:spacing w:after="0" w:line="240" w:lineRule="auto"/>
        <w:rPr>
          <w:rFonts w:ascii="Lato Light" w:hAnsi="Lato Light"/>
        </w:rPr>
      </w:pPr>
      <w:r w:rsidRPr="00AB7AF8">
        <w:rPr>
          <w:rFonts w:ascii="Lato Light" w:hAnsi="Lato Light"/>
          <w:i/>
          <w:iCs/>
        </w:rPr>
        <w:t>Self-funded and level-funded plans</w:t>
      </w:r>
      <w:r w:rsidRPr="00AB7AF8">
        <w:rPr>
          <w:rFonts w:ascii="Lato Light" w:hAnsi="Lato Light"/>
        </w:rPr>
        <w:t xml:space="preserve"> may satisfy the requirement to provide a GCPCA by entering into a written agreement under which the plan’s service provider(s) (such as a TPA, including an issuer acting as a TPA) will attest on behalf of the employer plan sponsor. However, even if the plan enters into an agreement with the TPA, the legal requirement to remove any gag clauses and provide an attestation rests on the plan sponsor.</w:t>
      </w:r>
    </w:p>
    <w:p w14:paraId="492A7D11" w14:textId="77777777" w:rsidR="00A43337" w:rsidRPr="00AB7AF8" w:rsidRDefault="00A43337" w:rsidP="00A43337">
      <w:pPr>
        <w:spacing w:after="0" w:line="240" w:lineRule="auto"/>
        <w:rPr>
          <w:rFonts w:ascii="Lato Light" w:hAnsi="Lato Light"/>
        </w:rPr>
      </w:pPr>
    </w:p>
    <w:p w14:paraId="7E0CCCEA" w14:textId="77777777" w:rsidR="00A43337" w:rsidRPr="00AB7AF8" w:rsidRDefault="00A43337" w:rsidP="00A43337">
      <w:pPr>
        <w:spacing w:after="0" w:line="240" w:lineRule="auto"/>
        <w:rPr>
          <w:rFonts w:ascii="Lato Light" w:hAnsi="Lato Light"/>
          <w:b/>
          <w:bCs/>
          <w:i/>
          <w:iCs/>
        </w:rPr>
      </w:pPr>
      <w:r w:rsidRPr="00AB7AF8">
        <w:rPr>
          <w:rFonts w:ascii="Lato Light" w:hAnsi="Lato Light"/>
          <w:b/>
          <w:bCs/>
          <w:i/>
          <w:iCs/>
        </w:rPr>
        <w:t xml:space="preserve">Who is exempt? </w:t>
      </w:r>
    </w:p>
    <w:p w14:paraId="4C1E21BF" w14:textId="77777777" w:rsidR="00A43337" w:rsidRPr="00AB7AF8" w:rsidRDefault="00A43337" w:rsidP="00A43337">
      <w:pPr>
        <w:spacing w:after="0" w:line="240" w:lineRule="auto"/>
        <w:rPr>
          <w:rFonts w:ascii="Lato Light" w:hAnsi="Lato Light"/>
        </w:rPr>
      </w:pPr>
    </w:p>
    <w:p w14:paraId="3B01763A" w14:textId="77777777" w:rsidR="00A43337" w:rsidRPr="00AB7AF8" w:rsidRDefault="00A43337" w:rsidP="00A43337">
      <w:pPr>
        <w:spacing w:after="0" w:line="240" w:lineRule="auto"/>
        <w:rPr>
          <w:rFonts w:ascii="Lato Light" w:hAnsi="Lato Light"/>
        </w:rPr>
      </w:pPr>
      <w:r w:rsidRPr="00AB7AF8">
        <w:rPr>
          <w:rFonts w:ascii="Lato Light" w:hAnsi="Lato Light"/>
        </w:rPr>
        <w:t xml:space="preserve">Generally, plans consisting of only excepted benefits, HRAs and ICHRAs are not required to attest as these plans do not typically need to enter into agreement with providers. Instead, these arrangements are usually integrated with other medical coverage that is required to submit an attestation (e.g., HRAs integrated with group health plan and ICHRAs with individual medical coverage). </w:t>
      </w:r>
    </w:p>
    <w:p w14:paraId="422160BE" w14:textId="77777777" w:rsidR="00A43337" w:rsidRPr="00AB7AF8" w:rsidRDefault="00A43337" w:rsidP="00A43337">
      <w:pPr>
        <w:spacing w:after="0" w:line="240" w:lineRule="auto"/>
        <w:rPr>
          <w:rFonts w:ascii="Lato Light" w:hAnsi="Lato Light"/>
        </w:rPr>
      </w:pPr>
    </w:p>
    <w:p w14:paraId="0ECC00D7" w14:textId="2F3D835A" w:rsidR="00AB7AF8" w:rsidRPr="00731D3B" w:rsidRDefault="00A43337" w:rsidP="00A43337">
      <w:pPr>
        <w:spacing w:after="0" w:line="240" w:lineRule="auto"/>
        <w:rPr>
          <w:rFonts w:ascii="Lato Light" w:hAnsi="Lato Light"/>
        </w:rPr>
      </w:pPr>
      <w:r w:rsidRPr="00AB7AF8">
        <w:rPr>
          <w:rFonts w:ascii="Lato Light" w:hAnsi="Lato Light"/>
        </w:rPr>
        <w:t>However, all group health plans regardless of size, funding strategy or grandfathered status must submit the required attestation.</w:t>
      </w:r>
    </w:p>
    <w:p w14:paraId="61C15ABA" w14:textId="77777777" w:rsidR="00DD266E" w:rsidRDefault="00DD266E" w:rsidP="00A43337">
      <w:pPr>
        <w:spacing w:after="0" w:line="240" w:lineRule="auto"/>
        <w:rPr>
          <w:rFonts w:ascii="Lato Light" w:hAnsi="Lato Light"/>
          <w:b/>
          <w:bCs/>
          <w:i/>
          <w:iCs/>
        </w:rPr>
      </w:pPr>
    </w:p>
    <w:p w14:paraId="37572A0D" w14:textId="0198E622" w:rsidR="00A43337" w:rsidRPr="00AB7AF8" w:rsidRDefault="00A43337" w:rsidP="00A43337">
      <w:pPr>
        <w:spacing w:after="0" w:line="240" w:lineRule="auto"/>
        <w:rPr>
          <w:rFonts w:ascii="Lato Light" w:hAnsi="Lato Light"/>
          <w:b/>
          <w:bCs/>
          <w:i/>
          <w:iCs/>
        </w:rPr>
      </w:pPr>
      <w:r w:rsidRPr="00AB7AF8">
        <w:rPr>
          <w:rFonts w:ascii="Lato Light" w:hAnsi="Lato Light"/>
          <w:b/>
          <w:bCs/>
          <w:i/>
          <w:iCs/>
        </w:rPr>
        <w:t>What is the penalty?</w:t>
      </w:r>
    </w:p>
    <w:p w14:paraId="25F500B4" w14:textId="77777777" w:rsidR="00A43337" w:rsidRPr="00AB7AF8" w:rsidRDefault="00A43337" w:rsidP="00A43337">
      <w:pPr>
        <w:spacing w:after="0" w:line="240" w:lineRule="auto"/>
        <w:rPr>
          <w:rFonts w:ascii="Lato Light" w:hAnsi="Lato Light"/>
        </w:rPr>
      </w:pPr>
    </w:p>
    <w:p w14:paraId="4328B3E9" w14:textId="77777777" w:rsidR="00A43337" w:rsidRPr="00AB7AF8" w:rsidRDefault="00A43337" w:rsidP="00A43337">
      <w:pPr>
        <w:spacing w:after="0" w:line="240" w:lineRule="auto"/>
        <w:rPr>
          <w:rFonts w:ascii="Lato Light" w:hAnsi="Lato Light"/>
        </w:rPr>
      </w:pPr>
      <w:r w:rsidRPr="00AB7AF8">
        <w:rPr>
          <w:rFonts w:ascii="Lato Light" w:hAnsi="Lato Light"/>
        </w:rPr>
        <w:t>The FAQ mentions that plans and issuers who fail to submit their GCPCA by the December 31</w:t>
      </w:r>
      <w:r w:rsidRPr="00AB7AF8">
        <w:rPr>
          <w:rFonts w:ascii="Lato Light" w:hAnsi="Lato Light"/>
          <w:vertAlign w:val="superscript"/>
        </w:rPr>
        <w:t>st</w:t>
      </w:r>
      <w:r w:rsidRPr="00AB7AF8">
        <w:rPr>
          <w:rFonts w:ascii="Lato Light" w:hAnsi="Lato Light"/>
        </w:rPr>
        <w:t xml:space="preserve"> deadline may be subject to enforcement action, but no specific penalties are provided.</w:t>
      </w:r>
    </w:p>
    <w:p w14:paraId="0B8AC62B" w14:textId="77777777" w:rsidR="00A43337" w:rsidRPr="00AB7AF8" w:rsidRDefault="00A43337" w:rsidP="00A43337">
      <w:pPr>
        <w:spacing w:after="0" w:line="240" w:lineRule="auto"/>
        <w:rPr>
          <w:rFonts w:ascii="Lato Light" w:hAnsi="Lato Light"/>
        </w:rPr>
      </w:pPr>
    </w:p>
    <w:p w14:paraId="65E10EE6" w14:textId="77777777" w:rsidR="00A43337" w:rsidRPr="00AB7AF8" w:rsidRDefault="00A43337" w:rsidP="00A43337">
      <w:pPr>
        <w:spacing w:after="0" w:line="240" w:lineRule="auto"/>
        <w:rPr>
          <w:rFonts w:ascii="Lato Light" w:hAnsi="Lato Light"/>
          <w:b/>
          <w:bCs/>
          <w:i/>
          <w:iCs/>
        </w:rPr>
      </w:pPr>
      <w:r w:rsidRPr="00AB7AF8">
        <w:rPr>
          <w:rFonts w:ascii="Lato Light" w:hAnsi="Lato Light"/>
          <w:b/>
          <w:bCs/>
          <w:i/>
          <w:iCs/>
        </w:rPr>
        <w:t xml:space="preserve">What are the changes to the </w:t>
      </w:r>
      <w:hyperlink r:id="rId7" w:history="1">
        <w:r w:rsidRPr="00AB7AF8">
          <w:rPr>
            <w:rStyle w:val="Hyperlink"/>
            <w:rFonts w:ascii="Lato Light" w:hAnsi="Lato Light"/>
            <w:b/>
            <w:bCs/>
            <w:i/>
            <w:iCs/>
          </w:rPr>
          <w:t>2024 Attestation Instructions</w:t>
        </w:r>
      </w:hyperlink>
      <w:r w:rsidRPr="00AB7AF8">
        <w:rPr>
          <w:rFonts w:ascii="Lato Light" w:hAnsi="Lato Light"/>
          <w:b/>
          <w:bCs/>
          <w:i/>
          <w:iCs/>
        </w:rPr>
        <w:t xml:space="preserve"> (see Appendix 4.1)?</w:t>
      </w:r>
    </w:p>
    <w:p w14:paraId="06057F00" w14:textId="77777777" w:rsidR="00A43337" w:rsidRPr="00AB7AF8" w:rsidRDefault="00A43337" w:rsidP="00A43337">
      <w:pPr>
        <w:spacing w:after="0" w:line="240" w:lineRule="auto"/>
        <w:rPr>
          <w:rFonts w:ascii="Lato Light" w:hAnsi="Lato Light"/>
          <w:b/>
          <w:bCs/>
          <w:i/>
          <w:iCs/>
        </w:rPr>
      </w:pPr>
    </w:p>
    <w:p w14:paraId="1BE5D6A1" w14:textId="77777777" w:rsidR="00A43337" w:rsidRPr="00AB7AF8" w:rsidRDefault="00A43337" w:rsidP="00A43337">
      <w:pPr>
        <w:pStyle w:val="ListParagraph"/>
        <w:numPr>
          <w:ilvl w:val="0"/>
          <w:numId w:val="17"/>
        </w:numPr>
        <w:spacing w:after="0" w:line="240" w:lineRule="auto"/>
        <w:rPr>
          <w:rFonts w:ascii="Lato Light" w:hAnsi="Lato Light"/>
        </w:rPr>
      </w:pPr>
      <w:r w:rsidRPr="00AB7AF8">
        <w:rPr>
          <w:rFonts w:ascii="Lato Light" w:hAnsi="Lato Light"/>
        </w:rPr>
        <w:t>Selection for the “attestation year.”</w:t>
      </w:r>
    </w:p>
    <w:p w14:paraId="5B6797BB" w14:textId="77777777" w:rsidR="00A43337" w:rsidRPr="00AB7AF8" w:rsidRDefault="00A43337" w:rsidP="00A43337">
      <w:pPr>
        <w:pStyle w:val="ListParagraph"/>
        <w:numPr>
          <w:ilvl w:val="0"/>
          <w:numId w:val="17"/>
        </w:numPr>
        <w:spacing w:after="0" w:line="240" w:lineRule="auto"/>
        <w:rPr>
          <w:rFonts w:ascii="Lato Light" w:hAnsi="Lato Light"/>
        </w:rPr>
      </w:pPr>
      <w:r w:rsidRPr="00AB7AF8">
        <w:rPr>
          <w:rFonts w:ascii="Lato Light" w:hAnsi="Lato Light"/>
        </w:rPr>
        <w:t>Field for the “attestation period.”</w:t>
      </w:r>
    </w:p>
    <w:p w14:paraId="3034D872" w14:textId="77777777" w:rsidR="00A43337" w:rsidRPr="00AB7AF8" w:rsidRDefault="00A43337" w:rsidP="00A43337">
      <w:pPr>
        <w:pStyle w:val="ListParagraph"/>
        <w:numPr>
          <w:ilvl w:val="0"/>
          <w:numId w:val="17"/>
        </w:numPr>
        <w:spacing w:after="0" w:line="240" w:lineRule="auto"/>
        <w:rPr>
          <w:rFonts w:ascii="Lato Light" w:hAnsi="Lato Light"/>
        </w:rPr>
      </w:pPr>
      <w:r w:rsidRPr="00AB7AF8">
        <w:rPr>
          <w:rFonts w:ascii="Lato Light" w:hAnsi="Lato Light"/>
        </w:rPr>
        <w:t>Employer plan types expanded to include ERISA plans, non-federal governmental plans, and church plans.</w:t>
      </w:r>
    </w:p>
    <w:p w14:paraId="76605C63" w14:textId="77777777" w:rsidR="00A43337" w:rsidRPr="00AB7AF8" w:rsidRDefault="00A43337" w:rsidP="00A43337">
      <w:pPr>
        <w:pStyle w:val="ListParagraph"/>
        <w:numPr>
          <w:ilvl w:val="0"/>
          <w:numId w:val="17"/>
        </w:numPr>
        <w:spacing w:after="0" w:line="240" w:lineRule="auto"/>
        <w:rPr>
          <w:rFonts w:ascii="Lato Light" w:hAnsi="Lato Light"/>
        </w:rPr>
      </w:pPr>
      <w:r w:rsidRPr="00AB7AF8">
        <w:rPr>
          <w:rFonts w:ascii="Lato Light" w:hAnsi="Lato Light"/>
        </w:rPr>
        <w:t>The term “Reporting entity” changed to “Responsible Entity.”</w:t>
      </w:r>
    </w:p>
    <w:p w14:paraId="69C52D09" w14:textId="51552B3B" w:rsidR="00A43337" w:rsidRPr="00AB7AF8" w:rsidRDefault="00A43337" w:rsidP="00A43337">
      <w:pPr>
        <w:pStyle w:val="ListParagraph"/>
        <w:numPr>
          <w:ilvl w:val="0"/>
          <w:numId w:val="17"/>
        </w:numPr>
        <w:spacing w:after="0" w:line="240" w:lineRule="auto"/>
        <w:rPr>
          <w:rFonts w:ascii="Lato Light" w:hAnsi="Lato Light"/>
        </w:rPr>
      </w:pPr>
      <w:r w:rsidRPr="00AB7AF8">
        <w:rPr>
          <w:rFonts w:ascii="Lato Light" w:hAnsi="Lato Light"/>
        </w:rPr>
        <w:t>Selections for “Responsible Entity” (i</w:t>
      </w:r>
      <w:r w:rsidR="00DD266E">
        <w:rPr>
          <w:rFonts w:ascii="Lato Light" w:hAnsi="Lato Light"/>
        </w:rPr>
        <w:t>.e.,</w:t>
      </w:r>
      <w:r w:rsidRPr="00AB7AF8">
        <w:rPr>
          <w:rFonts w:ascii="Lato Light" w:hAnsi="Lato Light"/>
        </w:rPr>
        <w:t xml:space="preserve"> which entity is attesting)</w:t>
      </w:r>
    </w:p>
    <w:p w14:paraId="4C5DA1D6" w14:textId="77777777" w:rsidR="00A43337" w:rsidRPr="00AB7AF8" w:rsidRDefault="00A43337" w:rsidP="00A43337">
      <w:pPr>
        <w:pStyle w:val="ListParagraph"/>
        <w:numPr>
          <w:ilvl w:val="0"/>
          <w:numId w:val="17"/>
        </w:numPr>
        <w:spacing w:after="0" w:line="240" w:lineRule="auto"/>
        <w:rPr>
          <w:rFonts w:ascii="Lato Light" w:hAnsi="Lato Light"/>
        </w:rPr>
      </w:pPr>
      <w:r w:rsidRPr="00AB7AF8">
        <w:rPr>
          <w:rFonts w:ascii="Lato Light" w:hAnsi="Lato Light"/>
        </w:rPr>
        <w:lastRenderedPageBreak/>
        <w:t xml:space="preserve">Sections for types of provider agreements </w:t>
      </w:r>
    </w:p>
    <w:p w14:paraId="3F167A57" w14:textId="77777777" w:rsidR="00A43337" w:rsidRPr="00AB7AF8" w:rsidRDefault="00A43337" w:rsidP="00A43337">
      <w:pPr>
        <w:pStyle w:val="ListParagraph"/>
        <w:numPr>
          <w:ilvl w:val="0"/>
          <w:numId w:val="17"/>
        </w:numPr>
        <w:spacing w:after="0" w:line="240" w:lineRule="auto"/>
        <w:rPr>
          <w:rFonts w:ascii="Lato Light" w:hAnsi="Lato Light"/>
        </w:rPr>
      </w:pPr>
      <w:r w:rsidRPr="00AB7AF8">
        <w:rPr>
          <w:rFonts w:ascii="Lato Light" w:hAnsi="Lato Light"/>
        </w:rPr>
        <w:t xml:space="preserve">Text box for submitter to enter “Other Limitations” </w:t>
      </w:r>
    </w:p>
    <w:p w14:paraId="5C602F26" w14:textId="77777777" w:rsidR="00A43337" w:rsidRPr="00AB7AF8" w:rsidRDefault="00A43337" w:rsidP="00A43337">
      <w:pPr>
        <w:pStyle w:val="ListParagraph"/>
        <w:numPr>
          <w:ilvl w:val="0"/>
          <w:numId w:val="17"/>
        </w:numPr>
        <w:spacing w:after="0" w:line="240" w:lineRule="auto"/>
        <w:rPr>
          <w:rFonts w:ascii="Lato Light" w:hAnsi="Lato Light"/>
        </w:rPr>
      </w:pPr>
      <w:r w:rsidRPr="00AB7AF8">
        <w:rPr>
          <w:rFonts w:ascii="Lato Light" w:hAnsi="Lato Light"/>
        </w:rPr>
        <w:t>Modified language to remove forward-looking agreement actions.</w:t>
      </w:r>
    </w:p>
    <w:p w14:paraId="70FDB2F2" w14:textId="77777777" w:rsidR="00A43337" w:rsidRPr="00AB7AF8" w:rsidRDefault="00A43337" w:rsidP="00A43337">
      <w:pPr>
        <w:pStyle w:val="ListParagraph"/>
        <w:numPr>
          <w:ilvl w:val="0"/>
          <w:numId w:val="17"/>
        </w:numPr>
        <w:spacing w:after="0" w:line="240" w:lineRule="auto"/>
        <w:rPr>
          <w:rFonts w:ascii="Lato Light" w:hAnsi="Lato Light"/>
        </w:rPr>
      </w:pPr>
      <w:r w:rsidRPr="00AB7AF8">
        <w:rPr>
          <w:rFonts w:ascii="Lato Light" w:hAnsi="Lato Light"/>
        </w:rPr>
        <w:t>Definitions added to the Appendix 4.2</w:t>
      </w:r>
    </w:p>
    <w:p w14:paraId="4FC6EE91" w14:textId="77777777" w:rsidR="00A43337" w:rsidRPr="00AB7AF8" w:rsidRDefault="00A43337" w:rsidP="00A43337">
      <w:pPr>
        <w:pStyle w:val="ListParagraph"/>
        <w:numPr>
          <w:ilvl w:val="0"/>
          <w:numId w:val="17"/>
        </w:numPr>
        <w:spacing w:after="0" w:line="240" w:lineRule="auto"/>
        <w:rPr>
          <w:rFonts w:ascii="Lato Light" w:hAnsi="Lato Light"/>
        </w:rPr>
      </w:pPr>
      <w:r w:rsidRPr="00AB7AF8">
        <w:rPr>
          <w:rFonts w:ascii="Lato Light" w:hAnsi="Lato Light"/>
        </w:rPr>
        <w:t xml:space="preserve">Language added to accommodate date ranges and other information provided through the submission process.  </w:t>
      </w:r>
    </w:p>
    <w:p w14:paraId="1DBB05DF" w14:textId="77777777" w:rsidR="00A43337" w:rsidRPr="00AB7AF8" w:rsidRDefault="00A43337" w:rsidP="00A43337">
      <w:pPr>
        <w:spacing w:after="0" w:line="240" w:lineRule="auto"/>
        <w:rPr>
          <w:rFonts w:ascii="Lato Light" w:hAnsi="Lato Light"/>
        </w:rPr>
      </w:pPr>
    </w:p>
    <w:p w14:paraId="2ADD03A5" w14:textId="77777777" w:rsidR="00A43337" w:rsidRPr="00AB7AF8" w:rsidRDefault="00A43337" w:rsidP="00A43337">
      <w:pPr>
        <w:spacing w:after="0" w:line="240" w:lineRule="auto"/>
        <w:rPr>
          <w:rFonts w:ascii="Lato Light" w:hAnsi="Lato Light"/>
          <w:b/>
          <w:bCs/>
          <w:i/>
          <w:iCs/>
        </w:rPr>
      </w:pPr>
      <w:r w:rsidRPr="00AB7AF8">
        <w:rPr>
          <w:rFonts w:ascii="Lato Light" w:hAnsi="Lato Light"/>
          <w:b/>
          <w:bCs/>
          <w:i/>
          <w:iCs/>
        </w:rPr>
        <w:t>Next steps for employers</w:t>
      </w:r>
    </w:p>
    <w:p w14:paraId="7BE19D4A" w14:textId="77777777" w:rsidR="00A43337" w:rsidRPr="00AB7AF8" w:rsidRDefault="00A43337" w:rsidP="00A43337">
      <w:pPr>
        <w:spacing w:after="0" w:line="240" w:lineRule="auto"/>
        <w:rPr>
          <w:rFonts w:ascii="Lato Light" w:hAnsi="Lato Light"/>
        </w:rPr>
      </w:pPr>
    </w:p>
    <w:p w14:paraId="195C239C" w14:textId="77777777" w:rsidR="00A43337" w:rsidRPr="00AB7AF8" w:rsidRDefault="00A43337" w:rsidP="00A43337">
      <w:pPr>
        <w:spacing w:after="0" w:line="240" w:lineRule="auto"/>
        <w:rPr>
          <w:rFonts w:ascii="Lato Light" w:hAnsi="Lato Light"/>
        </w:rPr>
      </w:pPr>
      <w:r w:rsidRPr="00AB7AF8">
        <w:rPr>
          <w:rFonts w:ascii="Lato Light" w:hAnsi="Lato Light"/>
        </w:rPr>
        <w:t xml:space="preserve">Many TPA service agreements include provisions requiring compliance with applicable law, which presumably would override any contrary existing provisions. Nonetheless, plan sponsors and advisors will need to review applicable agreements for gag clauses and remove them. </w:t>
      </w:r>
    </w:p>
    <w:p w14:paraId="7ECED7BB" w14:textId="77777777" w:rsidR="00A43337" w:rsidRPr="00AB7AF8" w:rsidRDefault="00A43337" w:rsidP="00A43337">
      <w:pPr>
        <w:spacing w:after="0" w:line="240" w:lineRule="auto"/>
        <w:rPr>
          <w:rFonts w:ascii="Lato Light" w:hAnsi="Lato Light"/>
        </w:rPr>
      </w:pPr>
    </w:p>
    <w:p w14:paraId="60372CC0" w14:textId="77777777" w:rsidR="00A43337" w:rsidRPr="00AB7AF8" w:rsidRDefault="00A43337" w:rsidP="00A43337">
      <w:pPr>
        <w:spacing w:after="0" w:line="240" w:lineRule="auto"/>
        <w:rPr>
          <w:rFonts w:ascii="Lato Light" w:hAnsi="Lato Light"/>
        </w:rPr>
      </w:pPr>
      <w:r w:rsidRPr="00AB7AF8">
        <w:rPr>
          <w:rFonts w:ascii="Lato Light" w:hAnsi="Lato Light"/>
        </w:rPr>
        <w:t>In addition, employers sponsoring fully-insured, level-funded or self-insured plans should be in contact with their service providers to understand what level of assistance they will be providing in submitting the GCPCA by December 31, 2024.</w:t>
      </w:r>
    </w:p>
    <w:p w14:paraId="3FBC997E" w14:textId="77777777" w:rsidR="00A43337" w:rsidRPr="00AB7AF8" w:rsidRDefault="00A43337" w:rsidP="00A43337">
      <w:pPr>
        <w:spacing w:after="0" w:line="240" w:lineRule="auto"/>
        <w:rPr>
          <w:rFonts w:ascii="Lato Light" w:hAnsi="Lato Light"/>
        </w:rPr>
      </w:pPr>
    </w:p>
    <w:p w14:paraId="41594526" w14:textId="77777777" w:rsidR="00A43337" w:rsidRPr="00AB7AF8" w:rsidRDefault="00A43337" w:rsidP="00A43337">
      <w:pPr>
        <w:spacing w:after="0" w:line="240" w:lineRule="auto"/>
        <w:rPr>
          <w:rFonts w:ascii="Lato Light" w:hAnsi="Lato Light"/>
        </w:rPr>
      </w:pPr>
      <w:r w:rsidRPr="00AB7AF8">
        <w:rPr>
          <w:rFonts w:ascii="Lato Light" w:hAnsi="Lato Light"/>
        </w:rPr>
        <w:t xml:space="preserve">Instructions, templates and other information is provided on the CMS GCPCA website: </w:t>
      </w:r>
      <w:hyperlink r:id="rId8" w:history="1">
        <w:r w:rsidRPr="00AB7AF8">
          <w:rPr>
            <w:rStyle w:val="Hyperlink"/>
            <w:rFonts w:ascii="Lato Light" w:hAnsi="Lato Light"/>
          </w:rPr>
          <w:t>https://www.cms.gov/cciio/programs-and-initiatives/other-insurance-protections/gag-clause-prohibition-compliance</w:t>
        </w:r>
      </w:hyperlink>
    </w:p>
    <w:p w14:paraId="0896BA3C" w14:textId="77777777" w:rsidR="00AB7AF8" w:rsidRDefault="00AB7AF8" w:rsidP="00F60126">
      <w:pPr>
        <w:rPr>
          <w:rFonts w:ascii="Lato Light" w:hAnsi="Lato Light"/>
        </w:rPr>
      </w:pPr>
    </w:p>
    <w:p w14:paraId="46D52E45" w14:textId="77777777" w:rsidR="001F6430" w:rsidRDefault="001F6430" w:rsidP="00731D3B">
      <w:pPr>
        <w:rPr>
          <w:rFonts w:ascii="Lato Light" w:hAnsi="Lato Light"/>
          <w:b/>
          <w:bCs/>
        </w:rPr>
      </w:pPr>
    </w:p>
    <w:p w14:paraId="6D419C6C" w14:textId="78469529" w:rsidR="004408D6" w:rsidRPr="004408D6" w:rsidRDefault="004408D6" w:rsidP="00731D3B">
      <w:pPr>
        <w:rPr>
          <w:rFonts w:ascii="Lato Light" w:hAnsi="Lato Light"/>
          <w:b/>
          <w:bCs/>
        </w:rPr>
      </w:pPr>
      <w:bookmarkStart w:id="3" w:name="_Hlk181264596"/>
      <w:r w:rsidRPr="004408D6">
        <w:rPr>
          <w:rFonts w:ascii="Lato Light" w:hAnsi="Lato Light"/>
          <w:b/>
          <w:bCs/>
        </w:rPr>
        <w:t xml:space="preserve">New Notices Required for </w:t>
      </w:r>
      <w:r>
        <w:rPr>
          <w:rFonts w:ascii="Lato Light" w:hAnsi="Lato Light"/>
          <w:b/>
          <w:bCs/>
        </w:rPr>
        <w:t xml:space="preserve">Employers offering </w:t>
      </w:r>
      <w:r w:rsidRPr="004408D6">
        <w:rPr>
          <w:rFonts w:ascii="Lato Light" w:hAnsi="Lato Light"/>
          <w:b/>
          <w:bCs/>
        </w:rPr>
        <w:t xml:space="preserve">Fixed </w:t>
      </w:r>
      <w:r w:rsidR="00474B78">
        <w:rPr>
          <w:rFonts w:ascii="Lato Light" w:hAnsi="Lato Light"/>
          <w:b/>
          <w:bCs/>
        </w:rPr>
        <w:t xml:space="preserve">Hospital </w:t>
      </w:r>
      <w:r w:rsidRPr="004408D6">
        <w:rPr>
          <w:rFonts w:ascii="Lato Light" w:hAnsi="Lato Light"/>
          <w:b/>
          <w:bCs/>
        </w:rPr>
        <w:t>Indemnity Insurance</w:t>
      </w:r>
    </w:p>
    <w:p w14:paraId="2BD40C4F" w14:textId="34ABCB99" w:rsidR="00731D3B" w:rsidRDefault="00731D3B" w:rsidP="00F60126">
      <w:pPr>
        <w:rPr>
          <w:rFonts w:ascii="Lato Light" w:hAnsi="Lato Light"/>
          <w:bCs/>
        </w:rPr>
      </w:pPr>
      <w:r w:rsidRPr="00731D3B">
        <w:rPr>
          <w:rFonts w:ascii="Lato Light" w:hAnsi="Lato Light"/>
          <w:bCs/>
        </w:rPr>
        <w:t xml:space="preserve">Employers offering </w:t>
      </w:r>
      <w:r w:rsidR="00F71275">
        <w:rPr>
          <w:rFonts w:ascii="Lato Light" w:hAnsi="Lato Light"/>
          <w:bCs/>
        </w:rPr>
        <w:t>‘</w:t>
      </w:r>
      <w:r w:rsidRPr="00731D3B">
        <w:rPr>
          <w:rFonts w:ascii="Lato Light" w:hAnsi="Lato Light"/>
          <w:bCs/>
        </w:rPr>
        <w:t>hospital and other fixed indemnity benefits</w:t>
      </w:r>
      <w:r w:rsidR="00F71275">
        <w:rPr>
          <w:rFonts w:ascii="Lato Light" w:hAnsi="Lato Light"/>
          <w:bCs/>
        </w:rPr>
        <w:t>’</w:t>
      </w:r>
      <w:r w:rsidRPr="00731D3B">
        <w:rPr>
          <w:rFonts w:ascii="Lato Light" w:hAnsi="Lato Light"/>
          <w:bCs/>
        </w:rPr>
        <w:t xml:space="preserve"> are required to provide a notice </w:t>
      </w:r>
      <w:r>
        <w:rPr>
          <w:rFonts w:ascii="Lato Light" w:hAnsi="Lato Light"/>
          <w:bCs/>
        </w:rPr>
        <w:t>for plan years beginning on or after</w:t>
      </w:r>
      <w:r w:rsidRPr="00731D3B">
        <w:rPr>
          <w:rFonts w:ascii="Lato Light" w:hAnsi="Lato Light"/>
          <w:bCs/>
        </w:rPr>
        <w:t xml:space="preserve"> January 1, 2025 telling participants that the coverage is not comprehensive health coverage. </w:t>
      </w:r>
    </w:p>
    <w:p w14:paraId="0CB942AF" w14:textId="78C148E0" w:rsidR="00731D3B" w:rsidRPr="00AB7AF8" w:rsidRDefault="00DD266E" w:rsidP="00731D3B">
      <w:pPr>
        <w:spacing w:after="0" w:line="240" w:lineRule="auto"/>
        <w:rPr>
          <w:rFonts w:ascii="Lato Light" w:hAnsi="Lato Light"/>
          <w:b/>
          <w:bCs/>
        </w:rPr>
      </w:pPr>
      <w:r>
        <w:rPr>
          <w:rFonts w:ascii="Lato Light" w:hAnsi="Lato Light"/>
          <w:b/>
          <w:bCs/>
        </w:rPr>
        <w:t>Applies To</w:t>
      </w:r>
      <w:r w:rsidR="00731D3B" w:rsidRPr="00AB7AF8">
        <w:rPr>
          <w:rFonts w:ascii="Lato Light" w:hAnsi="Lato Light"/>
          <w:b/>
          <w:bCs/>
        </w:rPr>
        <w:t xml:space="preserve">: </w:t>
      </w:r>
    </w:p>
    <w:p w14:paraId="3A3FEE9E" w14:textId="36D703BD" w:rsidR="00731D3B" w:rsidRPr="00AB7AF8" w:rsidRDefault="00731D3B" w:rsidP="00731D3B">
      <w:pPr>
        <w:numPr>
          <w:ilvl w:val="0"/>
          <w:numId w:val="16"/>
        </w:numPr>
        <w:spacing w:after="0" w:line="240" w:lineRule="auto"/>
        <w:rPr>
          <w:rFonts w:ascii="Lato Light" w:hAnsi="Lato Light"/>
        </w:rPr>
      </w:pPr>
      <w:r w:rsidRPr="00AB7AF8">
        <w:rPr>
          <w:rFonts w:ascii="Lato Light" w:hAnsi="Lato Light"/>
        </w:rPr>
        <w:t xml:space="preserve">Large employers </w:t>
      </w:r>
      <w:r w:rsidR="004408D6">
        <w:rPr>
          <w:rFonts w:ascii="Lato Light" w:hAnsi="Lato Light"/>
        </w:rPr>
        <w:t>offering fixed</w:t>
      </w:r>
      <w:r w:rsidR="00474B78">
        <w:rPr>
          <w:rFonts w:ascii="Lato Light" w:hAnsi="Lato Light"/>
        </w:rPr>
        <w:t xml:space="preserve"> hospital</w:t>
      </w:r>
      <w:r w:rsidR="004408D6">
        <w:rPr>
          <w:rFonts w:ascii="Lato Light" w:hAnsi="Lato Light"/>
        </w:rPr>
        <w:t xml:space="preserve"> indemnity benefits</w:t>
      </w:r>
      <w:r w:rsidRPr="00AB7AF8">
        <w:rPr>
          <w:rFonts w:ascii="Lato Light" w:hAnsi="Lato Light"/>
        </w:rPr>
        <w:t xml:space="preserve"> </w:t>
      </w:r>
    </w:p>
    <w:p w14:paraId="41B20255" w14:textId="671F5E3F" w:rsidR="00731D3B" w:rsidRPr="00AB7AF8" w:rsidRDefault="00731D3B" w:rsidP="00731D3B">
      <w:pPr>
        <w:numPr>
          <w:ilvl w:val="0"/>
          <w:numId w:val="16"/>
        </w:numPr>
        <w:spacing w:after="0" w:line="240" w:lineRule="auto"/>
        <w:rPr>
          <w:rFonts w:ascii="Lato Light" w:hAnsi="Lato Light"/>
        </w:rPr>
      </w:pPr>
      <w:r w:rsidRPr="00AB7AF8">
        <w:rPr>
          <w:rFonts w:ascii="Lato Light" w:hAnsi="Lato Light"/>
        </w:rPr>
        <w:t xml:space="preserve">Small employers </w:t>
      </w:r>
      <w:r w:rsidR="004408D6">
        <w:rPr>
          <w:rFonts w:ascii="Lato Light" w:hAnsi="Lato Light"/>
        </w:rPr>
        <w:t xml:space="preserve">offering fixed </w:t>
      </w:r>
      <w:r w:rsidR="00474B78">
        <w:rPr>
          <w:rFonts w:ascii="Lato Light" w:hAnsi="Lato Light"/>
        </w:rPr>
        <w:t xml:space="preserve">hospital </w:t>
      </w:r>
      <w:r w:rsidR="004408D6">
        <w:rPr>
          <w:rFonts w:ascii="Lato Light" w:hAnsi="Lato Light"/>
        </w:rPr>
        <w:t>indemnity benefits</w:t>
      </w:r>
    </w:p>
    <w:bookmarkEnd w:id="3"/>
    <w:p w14:paraId="65105609" w14:textId="77777777" w:rsidR="00731D3B" w:rsidRPr="00AB7AF8" w:rsidRDefault="00731D3B" w:rsidP="00731D3B">
      <w:pPr>
        <w:spacing w:after="0" w:line="240" w:lineRule="auto"/>
        <w:rPr>
          <w:rFonts w:ascii="Lato Light" w:hAnsi="Lato Light"/>
        </w:rPr>
      </w:pPr>
    </w:p>
    <w:p w14:paraId="0531773A" w14:textId="6939FC3A" w:rsidR="00731D3B" w:rsidRDefault="00731D3B" w:rsidP="004408D6">
      <w:pPr>
        <w:spacing w:after="0" w:line="240" w:lineRule="auto"/>
        <w:rPr>
          <w:rFonts w:ascii="Lato Light" w:hAnsi="Lato Light"/>
          <w:b/>
          <w:bCs/>
        </w:rPr>
      </w:pPr>
      <w:r w:rsidRPr="00AB7AF8">
        <w:rPr>
          <w:rFonts w:ascii="Lato Light" w:hAnsi="Lato Light"/>
          <w:b/>
          <w:bCs/>
        </w:rPr>
        <w:t>Go Deeper:</w:t>
      </w:r>
    </w:p>
    <w:p w14:paraId="708E3C98" w14:textId="77777777" w:rsidR="004408D6" w:rsidRPr="004408D6" w:rsidRDefault="004408D6" w:rsidP="004408D6">
      <w:pPr>
        <w:spacing w:after="0" w:line="240" w:lineRule="auto"/>
        <w:rPr>
          <w:rFonts w:ascii="Lato Light" w:hAnsi="Lato Light"/>
          <w:b/>
          <w:bCs/>
        </w:rPr>
      </w:pPr>
    </w:p>
    <w:p w14:paraId="1B44AD04" w14:textId="396F8029" w:rsidR="004408D6" w:rsidRDefault="004408D6" w:rsidP="00F60126">
      <w:pPr>
        <w:rPr>
          <w:rFonts w:ascii="Lato Light" w:hAnsi="Lato Light"/>
          <w:bCs/>
        </w:rPr>
      </w:pPr>
      <w:r>
        <w:rPr>
          <w:rFonts w:ascii="Lato Light" w:hAnsi="Lato Light"/>
          <w:bCs/>
        </w:rPr>
        <w:t xml:space="preserve">Fixed indemnity benefits typically provide a flat cash amount following the occurrence of a health-related event, such as hospitalization or illness at a predetermined level regardless of claims incurred under the major medical plan. </w:t>
      </w:r>
    </w:p>
    <w:p w14:paraId="7B51C10D" w14:textId="67C458CE" w:rsidR="005D6829" w:rsidRDefault="00731D3B" w:rsidP="00F60126">
      <w:pPr>
        <w:rPr>
          <w:rFonts w:ascii="Lato Light" w:hAnsi="Lato Light"/>
          <w:bCs/>
        </w:rPr>
      </w:pPr>
      <w:r w:rsidRPr="00731D3B">
        <w:rPr>
          <w:rFonts w:ascii="Lato Light" w:hAnsi="Lato Light"/>
          <w:bCs/>
        </w:rPr>
        <w:t xml:space="preserve">Specifically, the </w:t>
      </w:r>
      <w:r w:rsidR="00474B78">
        <w:rPr>
          <w:rFonts w:ascii="Lato Light" w:hAnsi="Lato Light"/>
          <w:bCs/>
        </w:rPr>
        <w:t xml:space="preserve">new </w:t>
      </w:r>
      <w:r w:rsidRPr="00731D3B">
        <w:rPr>
          <w:rFonts w:ascii="Lato Light" w:hAnsi="Lato Light"/>
          <w:bCs/>
        </w:rPr>
        <w:t>notice must be provided at the time or before participants have the chance to enroll or re-enroll in the</w:t>
      </w:r>
      <w:r w:rsidR="00F71275">
        <w:rPr>
          <w:rFonts w:ascii="Lato Light" w:hAnsi="Lato Light"/>
          <w:bCs/>
        </w:rPr>
        <w:t>se</w:t>
      </w:r>
      <w:r w:rsidRPr="00731D3B">
        <w:rPr>
          <w:rFonts w:ascii="Lato Light" w:hAnsi="Lato Light"/>
          <w:bCs/>
        </w:rPr>
        <w:t xml:space="preserve"> benefits. </w:t>
      </w:r>
      <w:r w:rsidR="005D6829" w:rsidRPr="005D6829">
        <w:rPr>
          <w:rFonts w:ascii="Lato Light" w:hAnsi="Lato Light"/>
          <w:bCs/>
        </w:rPr>
        <w:t xml:space="preserve">The new notice applies to group hospital indemnity or other fixed indemnity insurance. </w:t>
      </w:r>
      <w:r w:rsidR="005D6829">
        <w:rPr>
          <w:rFonts w:ascii="Lato Light" w:hAnsi="Lato Light"/>
          <w:bCs/>
        </w:rPr>
        <w:t>So, w</w:t>
      </w:r>
      <w:r w:rsidR="005D6829" w:rsidRPr="005D6829">
        <w:rPr>
          <w:rFonts w:ascii="Lato Light" w:hAnsi="Lato Light"/>
          <w:bCs/>
        </w:rPr>
        <w:t>hile all types of fixed indemnity policies such as cancer, specified disease and accident plans are indeed subject to the final rules, they are not considered “hospital indemnity or other fixed indemnity insurance” strictly for purposes of the new notice. </w:t>
      </w:r>
    </w:p>
    <w:p w14:paraId="6FF5F6D9" w14:textId="6CBC4DC4" w:rsidR="004408D6" w:rsidRDefault="005D6829" w:rsidP="00F60126">
      <w:pPr>
        <w:rPr>
          <w:rFonts w:ascii="Lato Light" w:hAnsi="Lato Light"/>
          <w:bCs/>
        </w:rPr>
      </w:pPr>
      <w:r w:rsidRPr="005D6829">
        <w:rPr>
          <w:rFonts w:ascii="Lato Light" w:hAnsi="Lato Light"/>
          <w:bCs/>
        </w:rPr>
        <w:t xml:space="preserve">Therefore, because fixed indemnity plans are subject to the final rules, but the notification requirement only applies to employers who provide hospital indemnity plans that pay a per day or per period, the notice is only required for </w:t>
      </w:r>
      <w:r w:rsidR="00474B78">
        <w:rPr>
          <w:rFonts w:ascii="Lato Light" w:hAnsi="Lato Light"/>
          <w:bCs/>
        </w:rPr>
        <w:t xml:space="preserve">employers </w:t>
      </w:r>
      <w:r w:rsidRPr="005D6829">
        <w:rPr>
          <w:rFonts w:ascii="Lato Light" w:hAnsi="Lato Light"/>
          <w:bCs/>
        </w:rPr>
        <w:t>providing</w:t>
      </w:r>
      <w:r w:rsidR="00474B78">
        <w:rPr>
          <w:rFonts w:ascii="Lato Light" w:hAnsi="Lato Light"/>
          <w:bCs/>
        </w:rPr>
        <w:t xml:space="preserve"> fixed</w:t>
      </w:r>
      <w:r w:rsidRPr="005D6829">
        <w:rPr>
          <w:rFonts w:ascii="Lato Light" w:hAnsi="Lato Light"/>
          <w:bCs/>
        </w:rPr>
        <w:t> hospital indemnity policies.</w:t>
      </w:r>
    </w:p>
    <w:p w14:paraId="457E4B4F" w14:textId="13D0EC15" w:rsidR="009830AC" w:rsidRPr="00731D3B" w:rsidRDefault="004408D6" w:rsidP="00F60126">
      <w:pPr>
        <w:rPr>
          <w:rFonts w:ascii="Lato Light" w:hAnsi="Lato Light"/>
          <w:bCs/>
        </w:rPr>
      </w:pPr>
      <w:r>
        <w:rPr>
          <w:rFonts w:ascii="Lato Light" w:hAnsi="Lato Light"/>
          <w:bCs/>
        </w:rPr>
        <w:lastRenderedPageBreak/>
        <w:t>Thus</w:t>
      </w:r>
      <w:r w:rsidR="00731D3B" w:rsidRPr="00731D3B">
        <w:rPr>
          <w:rFonts w:ascii="Lato Light" w:hAnsi="Lato Light"/>
          <w:bCs/>
        </w:rPr>
        <w:t>,</w:t>
      </w:r>
      <w:r>
        <w:rPr>
          <w:rFonts w:ascii="Lato Light" w:hAnsi="Lato Light"/>
          <w:bCs/>
        </w:rPr>
        <w:t xml:space="preserve"> employers offering </w:t>
      </w:r>
      <w:r w:rsidR="005D6829">
        <w:rPr>
          <w:rFonts w:ascii="Lato Light" w:hAnsi="Lato Light"/>
          <w:bCs/>
        </w:rPr>
        <w:t>hospital</w:t>
      </w:r>
      <w:r>
        <w:rPr>
          <w:rFonts w:ascii="Lato Light" w:hAnsi="Lato Light"/>
          <w:bCs/>
        </w:rPr>
        <w:t xml:space="preserve"> indemnity policies need to add the notice </w:t>
      </w:r>
      <w:r w:rsidR="00731D3B" w:rsidRPr="00731D3B">
        <w:rPr>
          <w:rFonts w:ascii="Lato Light" w:hAnsi="Lato Light"/>
          <w:bCs/>
        </w:rPr>
        <w:t>to open enrollment packets on the first page that discusses applicable benefits</w:t>
      </w:r>
      <w:r w:rsidR="00F12481">
        <w:rPr>
          <w:rFonts w:ascii="Lato Light" w:hAnsi="Lato Light"/>
          <w:bCs/>
        </w:rPr>
        <w:t xml:space="preserve"> beginning for the 2025 plan year</w:t>
      </w:r>
      <w:r w:rsidR="00731D3B" w:rsidRPr="00731D3B">
        <w:rPr>
          <w:rFonts w:ascii="Lato Light" w:hAnsi="Lato Light"/>
          <w:bCs/>
        </w:rPr>
        <w:t>.</w:t>
      </w:r>
    </w:p>
    <w:p w14:paraId="60092F92" w14:textId="25734DD6" w:rsidR="009830AC" w:rsidRPr="004408D6" w:rsidRDefault="004408D6" w:rsidP="00F60126">
      <w:pPr>
        <w:rPr>
          <w:rFonts w:ascii="Lato Light" w:hAnsi="Lato Light"/>
          <w:bCs/>
        </w:rPr>
      </w:pPr>
      <w:r w:rsidRPr="004408D6">
        <w:rPr>
          <w:rFonts w:ascii="Lato Light" w:hAnsi="Lato Light"/>
          <w:bCs/>
        </w:rPr>
        <w:t>The final rules provide</w:t>
      </w:r>
      <w:r>
        <w:rPr>
          <w:rFonts w:ascii="Lato Light" w:hAnsi="Lato Light"/>
          <w:bCs/>
        </w:rPr>
        <w:t xml:space="preserve"> a</w:t>
      </w:r>
      <w:r w:rsidRPr="004408D6">
        <w:rPr>
          <w:rFonts w:ascii="Lato Light" w:hAnsi="Lato Light"/>
          <w:bCs/>
        </w:rPr>
        <w:t xml:space="preserve"> </w:t>
      </w:r>
      <w:r>
        <w:rPr>
          <w:rFonts w:ascii="Lato Light" w:hAnsi="Lato Light"/>
          <w:bCs/>
        </w:rPr>
        <w:t>model</w:t>
      </w:r>
      <w:r w:rsidRPr="004408D6">
        <w:rPr>
          <w:rFonts w:ascii="Lato Light" w:hAnsi="Lato Light"/>
          <w:bCs/>
        </w:rPr>
        <w:t xml:space="preserve"> </w:t>
      </w:r>
      <w:r>
        <w:rPr>
          <w:rFonts w:ascii="Lato Light" w:hAnsi="Lato Light"/>
          <w:bCs/>
        </w:rPr>
        <w:t xml:space="preserve">notice </w:t>
      </w:r>
      <w:r w:rsidRPr="004408D6">
        <w:rPr>
          <w:rFonts w:ascii="Lato Light" w:hAnsi="Lato Light"/>
          <w:bCs/>
        </w:rPr>
        <w:t>(</w:t>
      </w:r>
      <w:r>
        <w:rPr>
          <w:rFonts w:ascii="Lato Light" w:hAnsi="Lato Light"/>
          <w:bCs/>
        </w:rPr>
        <w:t xml:space="preserve">see </w:t>
      </w:r>
      <w:r w:rsidRPr="004408D6">
        <w:rPr>
          <w:rFonts w:ascii="Lato Light" w:hAnsi="Lato Light"/>
          <w:bCs/>
        </w:rPr>
        <w:t>page 75) </w:t>
      </w:r>
      <w:hyperlink r:id="rId9" w:tgtFrame="_blank" w:tooltip="Protected by Avanan: https://www.govinfo.gov/content/pkg/FR-2024-04-03/pdf/2024-06551.pdf" w:history="1">
        <w:r w:rsidRPr="004408D6">
          <w:rPr>
            <w:rStyle w:val="Hyperlink"/>
            <w:rFonts w:ascii="Lato Light" w:hAnsi="Lato Light"/>
            <w:bCs/>
          </w:rPr>
          <w:t>https://www.govinfo.gov/content/pkg/FR-2024-04-03/pdf/2024-06551.pdf</w:t>
        </w:r>
      </w:hyperlink>
      <w:r w:rsidRPr="004408D6">
        <w:rPr>
          <w:rFonts w:ascii="Lato Light" w:hAnsi="Lato Light"/>
          <w:bCs/>
        </w:rPr>
        <w:t>. </w:t>
      </w:r>
    </w:p>
    <w:p w14:paraId="79AB25FD" w14:textId="77777777" w:rsidR="00481F4A" w:rsidRDefault="00481F4A" w:rsidP="00DE05EE">
      <w:pPr>
        <w:spacing w:after="0" w:line="240" w:lineRule="auto"/>
        <w:rPr>
          <w:rFonts w:ascii="Lato Light" w:hAnsi="Lato Light"/>
        </w:rPr>
      </w:pPr>
    </w:p>
    <w:p w14:paraId="1D3C8931" w14:textId="77777777" w:rsidR="00474B78" w:rsidRDefault="00474B78" w:rsidP="00474B78">
      <w:pPr>
        <w:rPr>
          <w:rFonts w:ascii="Lato Light" w:hAnsi="Lato Light"/>
          <w:b/>
          <w:bCs/>
        </w:rPr>
      </w:pPr>
      <w:r>
        <w:rPr>
          <w:rFonts w:ascii="Lato Light" w:hAnsi="Lato Light"/>
          <w:b/>
          <w:bCs/>
        </w:rPr>
        <w:t>Federal Updates</w:t>
      </w:r>
      <w:r w:rsidRPr="00AB7AF8">
        <w:rPr>
          <w:rFonts w:ascii="Lato Light" w:hAnsi="Lato Light"/>
          <w:b/>
          <w:bCs/>
        </w:rPr>
        <w:t>:</w:t>
      </w:r>
    </w:p>
    <w:p w14:paraId="2B8CB323" w14:textId="7E0A6459" w:rsidR="00474B78" w:rsidRPr="00AB34B5" w:rsidRDefault="00474B78" w:rsidP="00474B78">
      <w:pPr>
        <w:rPr>
          <w:rFonts w:ascii="Lato Light" w:hAnsi="Lato Light"/>
          <w:b/>
          <w:bCs/>
        </w:rPr>
      </w:pPr>
      <w:r w:rsidRPr="00AB34B5">
        <w:rPr>
          <w:rFonts w:ascii="Lato Light" w:hAnsi="Lato Light"/>
          <w:b/>
          <w:bCs/>
        </w:rPr>
        <w:t>Final 1095/1094-B &amp; C Forms for 202</w:t>
      </w:r>
      <w:r>
        <w:rPr>
          <w:rFonts w:ascii="Lato Light" w:hAnsi="Lato Light"/>
          <w:b/>
          <w:bCs/>
        </w:rPr>
        <w:t>4</w:t>
      </w:r>
      <w:r w:rsidRPr="00AB34B5">
        <w:rPr>
          <w:rFonts w:ascii="Lato Light" w:hAnsi="Lato Light"/>
          <w:b/>
          <w:bCs/>
        </w:rPr>
        <w:t xml:space="preserve"> Issued </w:t>
      </w:r>
    </w:p>
    <w:p w14:paraId="4FC10448" w14:textId="78B8E0D4" w:rsidR="00474B78" w:rsidRDefault="00474B78" w:rsidP="00474B78">
      <w:pPr>
        <w:rPr>
          <w:rFonts w:ascii="Lato Light" w:hAnsi="Lato Light"/>
        </w:rPr>
      </w:pPr>
      <w:r w:rsidRPr="00AB34B5">
        <w:rPr>
          <w:rFonts w:ascii="Lato Light" w:hAnsi="Lato Light"/>
        </w:rPr>
        <w:t>The IRS issued final forms and instructions related to ACA reporting requirements for 202</w:t>
      </w:r>
      <w:r w:rsidR="00966DC6">
        <w:rPr>
          <w:rFonts w:ascii="Lato Light" w:hAnsi="Lato Light"/>
        </w:rPr>
        <w:t>4</w:t>
      </w:r>
      <w:r w:rsidRPr="00AB34B5">
        <w:rPr>
          <w:rFonts w:ascii="Lato Light" w:hAnsi="Lato Light"/>
        </w:rPr>
        <w:t xml:space="preserve"> (202</w:t>
      </w:r>
      <w:r w:rsidR="00966DC6">
        <w:rPr>
          <w:rFonts w:ascii="Lato Light" w:hAnsi="Lato Light"/>
        </w:rPr>
        <w:t>4</w:t>
      </w:r>
      <w:r w:rsidRPr="00AB34B5">
        <w:rPr>
          <w:rFonts w:ascii="Lato Light" w:hAnsi="Lato Light"/>
        </w:rPr>
        <w:t xml:space="preserve"> Instructions for Forms </w:t>
      </w:r>
      <w:hyperlink r:id="rId10" w:history="1">
        <w:r w:rsidRPr="00CD0FB4">
          <w:rPr>
            <w:rStyle w:val="Hyperlink"/>
            <w:rFonts w:ascii="Lato Light" w:hAnsi="Lato Light"/>
          </w:rPr>
          <w:t>1095/1094-C</w:t>
        </w:r>
      </w:hyperlink>
      <w:r w:rsidRPr="00AB34B5">
        <w:rPr>
          <w:rFonts w:ascii="Lato Light" w:hAnsi="Lato Light"/>
        </w:rPr>
        <w:t xml:space="preserve"> and </w:t>
      </w:r>
      <w:hyperlink r:id="rId11" w:history="1">
        <w:r w:rsidRPr="00CD0FB4">
          <w:rPr>
            <w:rStyle w:val="Hyperlink"/>
            <w:rFonts w:ascii="Lato Light" w:hAnsi="Lato Light"/>
          </w:rPr>
          <w:t>1095/1094-B</w:t>
        </w:r>
      </w:hyperlink>
      <w:r w:rsidRPr="00AB34B5">
        <w:rPr>
          <w:rFonts w:ascii="Lato Light" w:hAnsi="Lato Light"/>
        </w:rPr>
        <w:t>).</w:t>
      </w:r>
    </w:p>
    <w:p w14:paraId="03AF797D" w14:textId="77777777" w:rsidR="00966DC6" w:rsidRDefault="00966DC6" w:rsidP="00966DC6">
      <w:pPr>
        <w:spacing w:after="0" w:line="240" w:lineRule="auto"/>
        <w:rPr>
          <w:rFonts w:ascii="Lato Light" w:hAnsi="Lato Light"/>
          <w:b/>
          <w:bCs/>
        </w:rPr>
      </w:pPr>
      <w:r>
        <w:rPr>
          <w:rFonts w:ascii="Lato Light" w:hAnsi="Lato Light"/>
          <w:b/>
          <w:bCs/>
        </w:rPr>
        <w:t>Applies To</w:t>
      </w:r>
      <w:r w:rsidRPr="00AB7AF8">
        <w:rPr>
          <w:rFonts w:ascii="Lato Light" w:hAnsi="Lato Light"/>
          <w:b/>
          <w:bCs/>
        </w:rPr>
        <w:t xml:space="preserve">: </w:t>
      </w:r>
    </w:p>
    <w:p w14:paraId="33E1B003" w14:textId="77777777" w:rsidR="00FB2151" w:rsidRPr="00AB7AF8" w:rsidRDefault="00FB2151" w:rsidP="00966DC6">
      <w:pPr>
        <w:spacing w:after="0" w:line="240" w:lineRule="auto"/>
        <w:rPr>
          <w:rFonts w:ascii="Lato Light" w:hAnsi="Lato Light"/>
          <w:b/>
          <w:bCs/>
        </w:rPr>
      </w:pPr>
    </w:p>
    <w:p w14:paraId="7DD46EBF" w14:textId="4C9B23A0" w:rsidR="00966DC6" w:rsidRPr="00AB7AF8" w:rsidRDefault="00966DC6" w:rsidP="00966DC6">
      <w:pPr>
        <w:numPr>
          <w:ilvl w:val="0"/>
          <w:numId w:val="16"/>
        </w:numPr>
        <w:spacing w:after="0" w:line="240" w:lineRule="auto"/>
        <w:rPr>
          <w:rFonts w:ascii="Lato Light" w:hAnsi="Lato Light"/>
        </w:rPr>
      </w:pPr>
      <w:r>
        <w:rPr>
          <w:rFonts w:ascii="Lato Light" w:hAnsi="Lato Light"/>
        </w:rPr>
        <w:t>Applicable l</w:t>
      </w:r>
      <w:r w:rsidRPr="00AB7AF8">
        <w:rPr>
          <w:rFonts w:ascii="Lato Light" w:hAnsi="Lato Light"/>
        </w:rPr>
        <w:t>arge employers</w:t>
      </w:r>
      <w:r>
        <w:rPr>
          <w:rFonts w:ascii="Lato Light" w:hAnsi="Lato Light"/>
        </w:rPr>
        <w:t xml:space="preserve"> (ALEs)</w:t>
      </w:r>
      <w:r w:rsidRPr="00AB7AF8">
        <w:rPr>
          <w:rFonts w:ascii="Lato Light" w:hAnsi="Lato Light"/>
        </w:rPr>
        <w:t xml:space="preserve"> with fully-insured</w:t>
      </w:r>
      <w:r>
        <w:rPr>
          <w:rFonts w:ascii="Lato Light" w:hAnsi="Lato Light"/>
        </w:rPr>
        <w:t xml:space="preserve"> and</w:t>
      </w:r>
      <w:r w:rsidRPr="00AB7AF8">
        <w:rPr>
          <w:rFonts w:ascii="Lato Light" w:hAnsi="Lato Light"/>
        </w:rPr>
        <w:t xml:space="preserve"> self-funded health plans</w:t>
      </w:r>
      <w:r>
        <w:rPr>
          <w:rFonts w:ascii="Lato Light" w:hAnsi="Lato Light"/>
        </w:rPr>
        <w:t>, including ICHRAs</w:t>
      </w:r>
      <w:r w:rsidRPr="00AB7AF8">
        <w:rPr>
          <w:rFonts w:ascii="Lato Light" w:hAnsi="Lato Light"/>
        </w:rPr>
        <w:t xml:space="preserve"> </w:t>
      </w:r>
      <w:r w:rsidR="00B0562E">
        <w:rPr>
          <w:rFonts w:ascii="Lato Light" w:hAnsi="Lato Light"/>
        </w:rPr>
        <w:t>(1095/1094-C)</w:t>
      </w:r>
    </w:p>
    <w:p w14:paraId="59A99A62" w14:textId="76B2815F" w:rsidR="00966DC6" w:rsidRPr="00AB7AF8" w:rsidRDefault="00966DC6" w:rsidP="00966DC6">
      <w:pPr>
        <w:numPr>
          <w:ilvl w:val="0"/>
          <w:numId w:val="16"/>
        </w:numPr>
        <w:spacing w:after="0" w:line="240" w:lineRule="auto"/>
        <w:rPr>
          <w:rFonts w:ascii="Lato Light" w:hAnsi="Lato Light"/>
        </w:rPr>
      </w:pPr>
      <w:r w:rsidRPr="00AB7AF8">
        <w:rPr>
          <w:rFonts w:ascii="Lato Light" w:hAnsi="Lato Light"/>
        </w:rPr>
        <w:t xml:space="preserve">Small employers </w:t>
      </w:r>
      <w:r>
        <w:rPr>
          <w:rFonts w:ascii="Lato Light" w:hAnsi="Lato Light"/>
        </w:rPr>
        <w:t xml:space="preserve">with </w:t>
      </w:r>
      <w:r w:rsidRPr="00AB7AF8">
        <w:rPr>
          <w:rFonts w:ascii="Lato Light" w:hAnsi="Lato Light"/>
        </w:rPr>
        <w:t>level-funded health plans</w:t>
      </w:r>
      <w:r>
        <w:rPr>
          <w:rFonts w:ascii="Lato Light" w:hAnsi="Lato Light"/>
        </w:rPr>
        <w:t>, including ICHRAs</w:t>
      </w:r>
      <w:r w:rsidR="00B0562E">
        <w:rPr>
          <w:rFonts w:ascii="Lato Light" w:hAnsi="Lato Light"/>
        </w:rPr>
        <w:t xml:space="preserve"> (1095/1094-B)</w:t>
      </w:r>
    </w:p>
    <w:p w14:paraId="3ACE0B55" w14:textId="1652E47F" w:rsidR="00474B78" w:rsidRDefault="00474B78" w:rsidP="00474B78">
      <w:pPr>
        <w:rPr>
          <w:rFonts w:ascii="Lato Light" w:hAnsi="Lato Light"/>
        </w:rPr>
      </w:pPr>
    </w:p>
    <w:p w14:paraId="0008944A" w14:textId="4A4C2301" w:rsidR="00593107" w:rsidRPr="00593107" w:rsidRDefault="00593107" w:rsidP="00474B78">
      <w:pPr>
        <w:rPr>
          <w:rFonts w:ascii="Lato Light" w:hAnsi="Lato Light"/>
          <w:b/>
          <w:bCs/>
        </w:rPr>
      </w:pPr>
      <w:bookmarkStart w:id="4" w:name="_Hlk181264873"/>
      <w:r w:rsidRPr="00593107">
        <w:rPr>
          <w:rFonts w:ascii="Lato Light" w:hAnsi="Lato Light"/>
          <w:b/>
          <w:bCs/>
        </w:rPr>
        <w:t>Go Deeper:</w:t>
      </w:r>
    </w:p>
    <w:bookmarkEnd w:id="4"/>
    <w:p w14:paraId="3F21BF91" w14:textId="05C5DC39" w:rsidR="00474B78" w:rsidRPr="00AB34B5" w:rsidRDefault="00474B78" w:rsidP="00474B78">
      <w:pPr>
        <w:rPr>
          <w:rFonts w:ascii="Lato Light" w:hAnsi="Lato Light"/>
        </w:rPr>
      </w:pPr>
      <w:r w:rsidRPr="00AB34B5">
        <w:rPr>
          <w:rFonts w:ascii="Lato Light" w:hAnsi="Lato Light"/>
        </w:rPr>
        <w:t>According to the instructions, 1095/1094-C and B forms must be filed electronically for all employers who file</w:t>
      </w:r>
      <w:r w:rsidR="00CD0FB4">
        <w:rPr>
          <w:rFonts w:ascii="Lato Light" w:hAnsi="Lato Light"/>
        </w:rPr>
        <w:t xml:space="preserve"> in aggregate</w:t>
      </w:r>
      <w:r w:rsidRPr="00AB34B5">
        <w:rPr>
          <w:rFonts w:ascii="Lato Light" w:hAnsi="Lato Light"/>
        </w:rPr>
        <w:t xml:space="preserve"> 10 or more of various types of information returns, including W-2s, 1099s, 1098s and 1095-B or C. </w:t>
      </w:r>
    </w:p>
    <w:p w14:paraId="5B3B32F9" w14:textId="20A016CD" w:rsidR="00CD0FB4" w:rsidRPr="00FB2151" w:rsidRDefault="00474B78" w:rsidP="00474B78">
      <w:pPr>
        <w:rPr>
          <w:rFonts w:ascii="Arial" w:hAnsi="Arial" w:cs="Arial"/>
          <w:color w:val="252525"/>
          <w:sz w:val="23"/>
          <w:szCs w:val="23"/>
        </w:rPr>
      </w:pPr>
      <w:r w:rsidRPr="00AB34B5">
        <w:rPr>
          <w:rFonts w:ascii="Lato Light" w:hAnsi="Lato Light"/>
        </w:rPr>
        <w:t>In addition, the penalty for failure to file electronically is increased to $3</w:t>
      </w:r>
      <w:r w:rsidR="00CD0FB4">
        <w:rPr>
          <w:rFonts w:ascii="Lato Light" w:hAnsi="Lato Light"/>
        </w:rPr>
        <w:t>30</w:t>
      </w:r>
      <w:r w:rsidRPr="00AB34B5">
        <w:rPr>
          <w:rFonts w:ascii="Lato Light" w:hAnsi="Lato Light"/>
        </w:rPr>
        <w:t xml:space="preserve"> per return (up from $</w:t>
      </w:r>
      <w:r w:rsidR="00CD0FB4">
        <w:rPr>
          <w:rFonts w:ascii="Lato Light" w:hAnsi="Lato Light"/>
        </w:rPr>
        <w:t>310</w:t>
      </w:r>
      <w:r w:rsidRPr="00AB34B5">
        <w:rPr>
          <w:rFonts w:ascii="Lato Light" w:hAnsi="Lato Light"/>
        </w:rPr>
        <w:t>), not to exceed $3,</w:t>
      </w:r>
      <w:r w:rsidR="00FB2151">
        <w:rPr>
          <w:rFonts w:ascii="Lato Light" w:hAnsi="Lato Light"/>
        </w:rPr>
        <w:t>9</w:t>
      </w:r>
      <w:r w:rsidRPr="00AB34B5">
        <w:rPr>
          <w:rFonts w:ascii="Lato Light" w:hAnsi="Lato Light"/>
        </w:rPr>
        <w:t>8</w:t>
      </w:r>
      <w:r w:rsidR="00FB2151">
        <w:rPr>
          <w:rFonts w:ascii="Lato Light" w:hAnsi="Lato Light"/>
        </w:rPr>
        <w:t>7</w:t>
      </w:r>
      <w:r w:rsidRPr="00AB34B5">
        <w:rPr>
          <w:rFonts w:ascii="Lato Light" w:hAnsi="Lato Light"/>
        </w:rPr>
        <w:t>,000 (up from $</w:t>
      </w:r>
      <w:r w:rsidR="00FB2151" w:rsidRPr="00AB34B5">
        <w:rPr>
          <w:rFonts w:ascii="Lato Light" w:hAnsi="Lato Light"/>
        </w:rPr>
        <w:t>3,783,000</w:t>
      </w:r>
      <w:r w:rsidRPr="00AB34B5">
        <w:rPr>
          <w:rFonts w:ascii="Lato Light" w:hAnsi="Lato Light"/>
        </w:rPr>
        <w:t>), for employers who have more than 10</w:t>
      </w:r>
      <w:r w:rsidR="00CD0FB4">
        <w:rPr>
          <w:rFonts w:ascii="Lato Light" w:hAnsi="Lato Light"/>
        </w:rPr>
        <w:t xml:space="preserve"> total</w:t>
      </w:r>
      <w:r w:rsidRPr="00AB34B5">
        <w:rPr>
          <w:rFonts w:ascii="Lato Light" w:hAnsi="Lato Light"/>
        </w:rPr>
        <w:t xml:space="preserve"> returns</w:t>
      </w:r>
      <w:r w:rsidR="00FB2151">
        <w:rPr>
          <w:rFonts w:ascii="Lato Light" w:hAnsi="Lato Light"/>
        </w:rPr>
        <w:t xml:space="preserve">. However, there is </w:t>
      </w:r>
      <w:r w:rsidR="00CD0FB4" w:rsidRPr="00CD0FB4">
        <w:rPr>
          <w:rFonts w:ascii="Lato Light" w:hAnsi="Lato Light"/>
        </w:rPr>
        <w:t xml:space="preserve">no annual maximum if there is an intentional disregard of the requirements to file the returns and furnish recipient statements. </w:t>
      </w:r>
    </w:p>
    <w:p w14:paraId="0CBEF951" w14:textId="3B79B174" w:rsidR="00474B78" w:rsidRPr="00AB34B5" w:rsidRDefault="00CD0FB4" w:rsidP="00474B78">
      <w:pPr>
        <w:rPr>
          <w:rFonts w:ascii="Lato Light" w:hAnsi="Lato Light"/>
        </w:rPr>
      </w:pPr>
      <w:r w:rsidRPr="00CD0FB4">
        <w:rPr>
          <w:rFonts w:ascii="Lato Light" w:hAnsi="Lato Light"/>
        </w:rPr>
        <w:t xml:space="preserve">The </w:t>
      </w:r>
      <w:r>
        <w:rPr>
          <w:rFonts w:ascii="Lato Light" w:hAnsi="Lato Light"/>
        </w:rPr>
        <w:t>1095-</w:t>
      </w:r>
      <w:r w:rsidRPr="00CD0FB4">
        <w:rPr>
          <w:rFonts w:ascii="Lato Light" w:hAnsi="Lato Light"/>
        </w:rPr>
        <w:t xml:space="preserve">C instructions </w:t>
      </w:r>
      <w:r>
        <w:rPr>
          <w:rFonts w:ascii="Lato Light" w:hAnsi="Lato Light"/>
        </w:rPr>
        <w:t xml:space="preserve">mention that </w:t>
      </w:r>
      <w:r w:rsidRPr="00CD0FB4">
        <w:rPr>
          <w:rFonts w:ascii="Lato Light" w:hAnsi="Lato Light"/>
        </w:rPr>
        <w:t>the affordability safe harbor and qualifying offer method are applied using the percentage for 2024, which is 8.39%.</w:t>
      </w:r>
    </w:p>
    <w:p w14:paraId="6A9744E3" w14:textId="0B14EA1A" w:rsidR="00474B78" w:rsidRPr="00AB34B5" w:rsidRDefault="00CD0FB4" w:rsidP="00474B78">
      <w:pPr>
        <w:rPr>
          <w:rFonts w:ascii="Lato Light" w:hAnsi="Lato Light"/>
        </w:rPr>
      </w:pPr>
      <w:r>
        <w:rPr>
          <w:rFonts w:ascii="Lato Light" w:hAnsi="Lato Light"/>
        </w:rPr>
        <w:t>Here are</w:t>
      </w:r>
      <w:r w:rsidR="00474B78" w:rsidRPr="00AB34B5">
        <w:rPr>
          <w:rFonts w:ascii="Lato Light" w:hAnsi="Lato Light"/>
        </w:rPr>
        <w:t xml:space="preserve"> deadlines for filing ACA </w:t>
      </w:r>
      <w:r>
        <w:rPr>
          <w:rFonts w:ascii="Lato Light" w:hAnsi="Lato Light"/>
        </w:rPr>
        <w:t>forms</w:t>
      </w:r>
      <w:r w:rsidR="00474B78" w:rsidRPr="00AB34B5">
        <w:rPr>
          <w:rFonts w:ascii="Lato Light" w:hAnsi="Lato Light"/>
        </w:rPr>
        <w:t xml:space="preserve"> with the IRS </w:t>
      </w:r>
      <w:r>
        <w:rPr>
          <w:rFonts w:ascii="Lato Light" w:hAnsi="Lato Light"/>
        </w:rPr>
        <w:t xml:space="preserve">in </w:t>
      </w:r>
      <w:r w:rsidR="00474B78" w:rsidRPr="00AB34B5">
        <w:rPr>
          <w:rFonts w:ascii="Lato Light" w:hAnsi="Lato Light"/>
        </w:rPr>
        <w:t>202</w:t>
      </w:r>
      <w:r>
        <w:rPr>
          <w:rFonts w:ascii="Lato Light" w:hAnsi="Lato Light"/>
        </w:rPr>
        <w:t>5</w:t>
      </w:r>
      <w:r w:rsidR="00474B78" w:rsidRPr="00AB34B5">
        <w:rPr>
          <w:rFonts w:ascii="Lato Light" w:hAnsi="Lato Light"/>
        </w:rPr>
        <w:t xml:space="preserve">: </w:t>
      </w:r>
    </w:p>
    <w:p w14:paraId="483AB60B" w14:textId="3F32BA09" w:rsidR="00474B78" w:rsidRPr="00AB34B5" w:rsidRDefault="00474B78" w:rsidP="00474B78">
      <w:pPr>
        <w:pStyle w:val="ListParagraph"/>
        <w:numPr>
          <w:ilvl w:val="0"/>
          <w:numId w:val="24"/>
        </w:numPr>
        <w:rPr>
          <w:rFonts w:ascii="Lato Light" w:hAnsi="Lato Light"/>
        </w:rPr>
      </w:pPr>
      <w:r w:rsidRPr="00AB34B5">
        <w:rPr>
          <w:rFonts w:ascii="Lato Light" w:hAnsi="Lato Light"/>
        </w:rPr>
        <w:t>Paper filings are due to the IRS by February 28, 202</w:t>
      </w:r>
      <w:r w:rsidR="00DC2F05">
        <w:rPr>
          <w:rFonts w:ascii="Lato Light" w:hAnsi="Lato Light"/>
        </w:rPr>
        <w:t>5</w:t>
      </w:r>
      <w:r w:rsidR="00CD0FB4">
        <w:rPr>
          <w:rFonts w:ascii="Lato Light" w:hAnsi="Lato Light"/>
        </w:rPr>
        <w:t xml:space="preserve"> (note: most employers can no longer file paper forms).</w:t>
      </w:r>
    </w:p>
    <w:p w14:paraId="0F66AE53" w14:textId="1817B680" w:rsidR="00474B78" w:rsidRPr="00AB34B5" w:rsidRDefault="00474B78" w:rsidP="00474B78">
      <w:pPr>
        <w:pStyle w:val="ListParagraph"/>
        <w:numPr>
          <w:ilvl w:val="0"/>
          <w:numId w:val="24"/>
        </w:numPr>
        <w:rPr>
          <w:rFonts w:ascii="Lato Light" w:hAnsi="Lato Light"/>
        </w:rPr>
      </w:pPr>
      <w:r w:rsidRPr="00AB34B5">
        <w:rPr>
          <w:rFonts w:ascii="Lato Light" w:hAnsi="Lato Light"/>
        </w:rPr>
        <w:t>Electronic filings are due</w:t>
      </w:r>
      <w:r w:rsidR="00CD0FB4">
        <w:rPr>
          <w:rFonts w:ascii="Lato Light" w:hAnsi="Lato Light"/>
        </w:rPr>
        <w:t xml:space="preserve"> to the IRS</w:t>
      </w:r>
      <w:r w:rsidRPr="00AB34B5">
        <w:rPr>
          <w:rFonts w:ascii="Lato Light" w:hAnsi="Lato Light"/>
        </w:rPr>
        <w:t xml:space="preserve"> as of March </w:t>
      </w:r>
      <w:r w:rsidR="00DC2F05">
        <w:rPr>
          <w:rFonts w:ascii="Lato Light" w:hAnsi="Lato Light"/>
        </w:rPr>
        <w:t>31, 2025</w:t>
      </w:r>
      <w:r w:rsidR="00CD0FB4">
        <w:rPr>
          <w:rFonts w:ascii="Lato Light" w:hAnsi="Lato Light"/>
        </w:rPr>
        <w:t>.</w:t>
      </w:r>
    </w:p>
    <w:p w14:paraId="713A4FF6" w14:textId="470AEB6C" w:rsidR="00474B78" w:rsidRPr="00AB34B5" w:rsidRDefault="00474B78" w:rsidP="00474B78">
      <w:pPr>
        <w:pStyle w:val="ListParagraph"/>
        <w:numPr>
          <w:ilvl w:val="0"/>
          <w:numId w:val="24"/>
        </w:numPr>
        <w:rPr>
          <w:rFonts w:ascii="Lato Light" w:hAnsi="Lato Light"/>
        </w:rPr>
      </w:pPr>
      <w:r w:rsidRPr="00AB34B5">
        <w:rPr>
          <w:rFonts w:ascii="Lato Light" w:hAnsi="Lato Light"/>
        </w:rPr>
        <w:t xml:space="preserve">1095-C and B statements to individuals must be furnished by March </w:t>
      </w:r>
      <w:r w:rsidR="00DC2F05">
        <w:rPr>
          <w:rFonts w:ascii="Lato Light" w:hAnsi="Lato Light"/>
        </w:rPr>
        <w:t>3</w:t>
      </w:r>
      <w:r w:rsidRPr="00AB34B5">
        <w:rPr>
          <w:rFonts w:ascii="Lato Light" w:hAnsi="Lato Light"/>
        </w:rPr>
        <w:t>, 202</w:t>
      </w:r>
      <w:r w:rsidR="00DC2F05">
        <w:rPr>
          <w:rFonts w:ascii="Lato Light" w:hAnsi="Lato Light"/>
        </w:rPr>
        <w:t>5</w:t>
      </w:r>
      <w:r w:rsidRPr="00AB34B5">
        <w:rPr>
          <w:rFonts w:ascii="Lato Light" w:hAnsi="Lato Light"/>
        </w:rPr>
        <w:t>, reflecting a permanent automatic extension 30 days after January 31.</w:t>
      </w:r>
    </w:p>
    <w:p w14:paraId="16C2B140" w14:textId="742A3AFA" w:rsidR="00125A3A" w:rsidRDefault="00125A3A" w:rsidP="00474B78">
      <w:pPr>
        <w:rPr>
          <w:rFonts w:ascii="Lato Light" w:hAnsi="Lato Light"/>
        </w:rPr>
      </w:pPr>
      <w:r w:rsidRPr="00125A3A">
        <w:rPr>
          <w:rFonts w:ascii="Lato Light" w:hAnsi="Lato Light"/>
        </w:rPr>
        <w:t xml:space="preserve">Publications </w:t>
      </w:r>
      <w:hyperlink r:id="rId12" w:history="1">
        <w:r w:rsidRPr="00125A3A">
          <w:rPr>
            <w:rStyle w:val="Hyperlink"/>
            <w:rFonts w:ascii="Lato Light" w:hAnsi="Lato Light"/>
          </w:rPr>
          <w:t>5165</w:t>
        </w:r>
      </w:hyperlink>
      <w:r w:rsidRPr="00125A3A">
        <w:rPr>
          <w:rFonts w:ascii="Lato Light" w:hAnsi="Lato Light"/>
        </w:rPr>
        <w:t xml:space="preserve"> (guide for electronically filing ACA information returns for software developers and transmitters), </w:t>
      </w:r>
      <w:hyperlink r:id="rId13" w:history="1">
        <w:r w:rsidRPr="00125A3A">
          <w:rPr>
            <w:rStyle w:val="Hyperlink"/>
            <w:rFonts w:ascii="Lato Light" w:hAnsi="Lato Light"/>
          </w:rPr>
          <w:t>5258</w:t>
        </w:r>
      </w:hyperlink>
      <w:r w:rsidRPr="00125A3A">
        <w:rPr>
          <w:rFonts w:ascii="Lato Light" w:hAnsi="Lato Light"/>
        </w:rPr>
        <w:t xml:space="preserve"> (ACA AIR submission composition and reference guide), and </w:t>
      </w:r>
      <w:hyperlink r:id="rId14" w:history="1">
        <w:r w:rsidRPr="00125A3A">
          <w:rPr>
            <w:rStyle w:val="Hyperlink"/>
            <w:rFonts w:ascii="Lato Light" w:hAnsi="Lato Light"/>
          </w:rPr>
          <w:t>5308</w:t>
        </w:r>
      </w:hyperlink>
      <w:r w:rsidRPr="00125A3A">
        <w:rPr>
          <w:rFonts w:ascii="Lato Light" w:hAnsi="Lato Light"/>
        </w:rPr>
        <w:t xml:space="preserve"> (guide for automated enrollment for ACA providers) have also been revised.</w:t>
      </w:r>
      <w:r>
        <w:rPr>
          <w:rFonts w:ascii="Lato Light" w:hAnsi="Lato Light"/>
        </w:rPr>
        <w:t xml:space="preserve"> However, employers are encouraged to work with their payroll provider or other ACA filing platform for assistance with filing electronic returns. </w:t>
      </w:r>
    </w:p>
    <w:p w14:paraId="651A77D7" w14:textId="3A34CDA9" w:rsidR="00474B78" w:rsidRDefault="00474B78" w:rsidP="00474B78">
      <w:pPr>
        <w:rPr>
          <w:rFonts w:ascii="Lato Light" w:hAnsi="Lato Light"/>
        </w:rPr>
      </w:pPr>
      <w:r w:rsidRPr="00AB34B5">
        <w:rPr>
          <w:rFonts w:ascii="Lato Light" w:hAnsi="Lato Light"/>
        </w:rPr>
        <w:t xml:space="preserve">Filers can apply for an extension with the IRS by submitting </w:t>
      </w:r>
      <w:hyperlink r:id="rId15" w:history="1">
        <w:r w:rsidRPr="00AB34B5">
          <w:rPr>
            <w:rStyle w:val="Hyperlink"/>
            <w:rFonts w:ascii="Lato Light" w:hAnsi="Lato Light"/>
          </w:rPr>
          <w:t>Form 8809</w:t>
        </w:r>
      </w:hyperlink>
      <w:r w:rsidRPr="00AB34B5">
        <w:rPr>
          <w:rFonts w:ascii="Lato Light" w:hAnsi="Lato Light"/>
        </w:rPr>
        <w:t xml:space="preserve"> prior to the filing due date.</w:t>
      </w:r>
    </w:p>
    <w:p w14:paraId="363B6225" w14:textId="77777777" w:rsidR="001F6430" w:rsidRDefault="001F6430" w:rsidP="00474B78">
      <w:pPr>
        <w:rPr>
          <w:rFonts w:ascii="Lato Light" w:hAnsi="Lato Light"/>
        </w:rPr>
      </w:pPr>
    </w:p>
    <w:p w14:paraId="598FFB94" w14:textId="6F701446" w:rsidR="001F6430" w:rsidRPr="004408D6" w:rsidRDefault="001F6430" w:rsidP="001F6430">
      <w:pPr>
        <w:rPr>
          <w:rFonts w:ascii="Lato Light" w:hAnsi="Lato Light"/>
          <w:b/>
          <w:bCs/>
        </w:rPr>
      </w:pPr>
      <w:r>
        <w:rPr>
          <w:rFonts w:ascii="Lato Light" w:hAnsi="Lato Light"/>
          <w:b/>
          <w:bCs/>
        </w:rPr>
        <w:lastRenderedPageBreak/>
        <w:t>IRS Releases Guidance on Medical Care Expenses for FSAs, HRAs, HSAs and Preventive Care for High Deductible Health Plans</w:t>
      </w:r>
    </w:p>
    <w:p w14:paraId="5AA7BE9B" w14:textId="15A87858" w:rsidR="001226AB" w:rsidRDefault="001226AB" w:rsidP="001F6430">
      <w:pPr>
        <w:spacing w:after="0" w:line="240" w:lineRule="auto"/>
        <w:rPr>
          <w:rFonts w:ascii="Lato Light" w:hAnsi="Lato Light"/>
          <w:bCs/>
        </w:rPr>
      </w:pPr>
      <w:r w:rsidRPr="001226AB">
        <w:rPr>
          <w:rFonts w:ascii="Lato Light" w:hAnsi="Lato Light"/>
          <w:bCs/>
        </w:rPr>
        <w:t xml:space="preserve">The IRS has </w:t>
      </w:r>
      <w:r>
        <w:rPr>
          <w:rFonts w:ascii="Lato Light" w:hAnsi="Lato Light"/>
          <w:bCs/>
        </w:rPr>
        <w:t>released</w:t>
      </w:r>
      <w:r w:rsidRPr="001226AB">
        <w:rPr>
          <w:rFonts w:ascii="Lato Light" w:hAnsi="Lato Light"/>
          <w:bCs/>
        </w:rPr>
        <w:t xml:space="preserve"> two notices </w:t>
      </w:r>
      <w:r>
        <w:rPr>
          <w:rFonts w:ascii="Lato Light" w:hAnsi="Lato Light"/>
          <w:bCs/>
        </w:rPr>
        <w:t>providing</w:t>
      </w:r>
      <w:r w:rsidRPr="001226AB">
        <w:rPr>
          <w:rFonts w:ascii="Lato Light" w:hAnsi="Lato Light"/>
          <w:bCs/>
        </w:rPr>
        <w:t xml:space="preserve"> guidance on medical expense issues for health FSAs, HRAs, HSAs, and HDHPs.</w:t>
      </w:r>
      <w:r>
        <w:rPr>
          <w:rFonts w:ascii="Lato Light" w:hAnsi="Lato Light"/>
          <w:bCs/>
        </w:rPr>
        <w:t xml:space="preserve"> Specifically, the IRS will treat amounts paid for condoms as medical care expenses</w:t>
      </w:r>
      <w:r w:rsidR="00F71275">
        <w:rPr>
          <w:rFonts w:ascii="Lato Light" w:hAnsi="Lato Light"/>
          <w:bCs/>
        </w:rPr>
        <w:t xml:space="preserve"> for reimbursement under health FSAs, HRAs and HSAs. In addition, several benefits are now considered preventive care for purposes of qualified high deductible health plan coverage. </w:t>
      </w:r>
    </w:p>
    <w:p w14:paraId="1ABB02FC" w14:textId="77777777" w:rsidR="001226AB" w:rsidRDefault="001226AB" w:rsidP="001F6430">
      <w:pPr>
        <w:spacing w:after="0" w:line="240" w:lineRule="auto"/>
        <w:rPr>
          <w:rFonts w:ascii="Lato Light" w:hAnsi="Lato Light"/>
          <w:bCs/>
        </w:rPr>
      </w:pPr>
    </w:p>
    <w:p w14:paraId="0D9BC5FA" w14:textId="704824DC" w:rsidR="001F6430" w:rsidRPr="00AB7AF8" w:rsidRDefault="001F6430" w:rsidP="001F6430">
      <w:pPr>
        <w:spacing w:after="0" w:line="240" w:lineRule="auto"/>
        <w:rPr>
          <w:rFonts w:ascii="Lato Light" w:hAnsi="Lato Light"/>
          <w:b/>
          <w:bCs/>
        </w:rPr>
      </w:pPr>
      <w:r>
        <w:rPr>
          <w:rFonts w:ascii="Lato Light" w:hAnsi="Lato Light"/>
          <w:b/>
          <w:bCs/>
        </w:rPr>
        <w:t>Applies To</w:t>
      </w:r>
      <w:r w:rsidRPr="00AB7AF8">
        <w:rPr>
          <w:rFonts w:ascii="Lato Light" w:hAnsi="Lato Light"/>
          <w:b/>
          <w:bCs/>
        </w:rPr>
        <w:t xml:space="preserve">: </w:t>
      </w:r>
    </w:p>
    <w:p w14:paraId="5FA5BCC8" w14:textId="45743E02" w:rsidR="001F6430" w:rsidRDefault="001F6430" w:rsidP="001F6430">
      <w:pPr>
        <w:numPr>
          <w:ilvl w:val="0"/>
          <w:numId w:val="16"/>
        </w:numPr>
        <w:spacing w:after="0" w:line="240" w:lineRule="auto"/>
        <w:rPr>
          <w:rFonts w:ascii="Lato Light" w:hAnsi="Lato Light"/>
        </w:rPr>
      </w:pPr>
      <w:r>
        <w:rPr>
          <w:rFonts w:ascii="Lato Light" w:hAnsi="Lato Light"/>
        </w:rPr>
        <w:t>All employers</w:t>
      </w:r>
      <w:r w:rsidRPr="00AB7AF8">
        <w:rPr>
          <w:rFonts w:ascii="Lato Light" w:hAnsi="Lato Light"/>
        </w:rPr>
        <w:t xml:space="preserve"> </w:t>
      </w:r>
      <w:r>
        <w:rPr>
          <w:rFonts w:ascii="Lato Light" w:hAnsi="Lato Light"/>
        </w:rPr>
        <w:t>offering high deductible health plans (HDHPs)</w:t>
      </w:r>
      <w:r w:rsidR="00F71275">
        <w:rPr>
          <w:rFonts w:ascii="Lato Light" w:hAnsi="Lato Light"/>
        </w:rPr>
        <w:t>.</w:t>
      </w:r>
    </w:p>
    <w:p w14:paraId="2C06AE2F" w14:textId="177B9C89" w:rsidR="001F6430" w:rsidRPr="00AB7AF8" w:rsidRDefault="001F6430" w:rsidP="001F6430">
      <w:pPr>
        <w:numPr>
          <w:ilvl w:val="0"/>
          <w:numId w:val="16"/>
        </w:numPr>
        <w:spacing w:after="0" w:line="240" w:lineRule="auto"/>
        <w:rPr>
          <w:rFonts w:ascii="Lato Light" w:hAnsi="Lato Light"/>
        </w:rPr>
      </w:pPr>
      <w:r>
        <w:rPr>
          <w:rFonts w:ascii="Lato Light" w:hAnsi="Lato Light"/>
        </w:rPr>
        <w:t>All employers offering tax advantaged arrangements, including FSAs, HRAs and HSAs</w:t>
      </w:r>
      <w:r w:rsidR="00F71275">
        <w:rPr>
          <w:rFonts w:ascii="Lato Light" w:hAnsi="Lato Light"/>
        </w:rPr>
        <w:t>.</w:t>
      </w:r>
      <w:r w:rsidRPr="00AB7AF8">
        <w:rPr>
          <w:rFonts w:ascii="Lato Light" w:hAnsi="Lato Light"/>
        </w:rPr>
        <w:t xml:space="preserve"> </w:t>
      </w:r>
    </w:p>
    <w:p w14:paraId="32C760F9" w14:textId="77777777" w:rsidR="001F6430" w:rsidRDefault="001F6430" w:rsidP="00474B78">
      <w:pPr>
        <w:rPr>
          <w:rFonts w:ascii="Lato Light" w:hAnsi="Lato Light"/>
        </w:rPr>
      </w:pPr>
    </w:p>
    <w:p w14:paraId="4FF78F89" w14:textId="77777777" w:rsidR="00593107" w:rsidRDefault="00593107" w:rsidP="00593107">
      <w:pPr>
        <w:rPr>
          <w:rFonts w:ascii="Lato Light" w:hAnsi="Lato Light"/>
          <w:b/>
          <w:bCs/>
        </w:rPr>
      </w:pPr>
      <w:r w:rsidRPr="00593107">
        <w:rPr>
          <w:rFonts w:ascii="Lato Light" w:hAnsi="Lato Light"/>
          <w:b/>
          <w:bCs/>
        </w:rPr>
        <w:t>Go Deeper:</w:t>
      </w:r>
    </w:p>
    <w:p w14:paraId="5583A40F" w14:textId="5085689A" w:rsidR="00BC2AFB" w:rsidRPr="00593107" w:rsidRDefault="00F71275" w:rsidP="00593107">
      <w:pPr>
        <w:rPr>
          <w:rFonts w:ascii="Lato Light" w:hAnsi="Lato Light"/>
        </w:rPr>
      </w:pPr>
      <w:r>
        <w:rPr>
          <w:rFonts w:ascii="Lato Light" w:hAnsi="Lato Light"/>
        </w:rPr>
        <w:t>On October 17, 2024, t</w:t>
      </w:r>
      <w:r w:rsidR="00BC2AFB">
        <w:rPr>
          <w:rFonts w:ascii="Lato Light" w:hAnsi="Lato Light"/>
        </w:rPr>
        <w:t xml:space="preserve">he IRS released Notices </w:t>
      </w:r>
      <w:hyperlink r:id="rId16" w:history="1">
        <w:r w:rsidR="00BC2AFB" w:rsidRPr="00BC2AFB">
          <w:rPr>
            <w:rStyle w:val="Hyperlink"/>
            <w:rFonts w:ascii="Lato Light" w:hAnsi="Lato Light"/>
          </w:rPr>
          <w:t>2024-71</w:t>
        </w:r>
      </w:hyperlink>
      <w:r w:rsidR="00BC2AFB">
        <w:rPr>
          <w:rFonts w:ascii="Lato Light" w:hAnsi="Lato Light"/>
        </w:rPr>
        <w:t xml:space="preserve"> and </w:t>
      </w:r>
      <w:hyperlink r:id="rId17" w:history="1">
        <w:r w:rsidR="00BC2AFB" w:rsidRPr="00BC2AFB">
          <w:rPr>
            <w:rStyle w:val="Hyperlink"/>
            <w:rFonts w:ascii="Lato Light" w:hAnsi="Lato Light"/>
          </w:rPr>
          <w:t>2024-75</w:t>
        </w:r>
      </w:hyperlink>
      <w:r w:rsidR="00BC2AFB">
        <w:rPr>
          <w:rFonts w:ascii="Lato Light" w:hAnsi="Lato Light"/>
        </w:rPr>
        <w:t>. Here are the highlights to be reviewed by employers and TPAs:</w:t>
      </w:r>
    </w:p>
    <w:p w14:paraId="56038C33" w14:textId="71ED8FAF" w:rsidR="00593107" w:rsidRDefault="00593107" w:rsidP="00474B78">
      <w:pPr>
        <w:rPr>
          <w:rFonts w:ascii="Lato Light" w:hAnsi="Lato Light"/>
        </w:rPr>
      </w:pPr>
      <w:r w:rsidRPr="00BC2AFB">
        <w:rPr>
          <w:rFonts w:ascii="Lato Light" w:hAnsi="Lato Light"/>
          <w:i/>
          <w:iCs/>
        </w:rPr>
        <w:t>Medical care expenses for tax-advantaged arrangements</w:t>
      </w:r>
      <w:r w:rsidR="00BC2AFB">
        <w:rPr>
          <w:rFonts w:ascii="Lato Light" w:hAnsi="Lato Light"/>
        </w:rPr>
        <w:t xml:space="preserve"> – Under a new safe harbor, </w:t>
      </w:r>
      <w:r w:rsidR="00BC2AFB" w:rsidRPr="00BC2AFB">
        <w:rPr>
          <w:rFonts w:ascii="Lato Light" w:hAnsi="Lato Light"/>
        </w:rPr>
        <w:t>the IRS will treat amounts paid for condoms as medical care under Code § 213(d). (According to the notice, amounts paid for condoms otherwise might or might not be considered medical expenses under Code § 213(d), depending on the specific facts and circumstances.) Therefore, these amounts can be paid or reimbursed under a health FSA, HRA,</w:t>
      </w:r>
      <w:r w:rsidR="00BC2AFB">
        <w:rPr>
          <w:rFonts w:ascii="Lato Light" w:hAnsi="Lato Light"/>
        </w:rPr>
        <w:t xml:space="preserve"> or</w:t>
      </w:r>
      <w:r w:rsidR="00BC2AFB" w:rsidRPr="00BC2AFB">
        <w:rPr>
          <w:rFonts w:ascii="Lato Light" w:hAnsi="Lato Light"/>
        </w:rPr>
        <w:t xml:space="preserve"> </w:t>
      </w:r>
      <w:r w:rsidR="00BC2AFB">
        <w:rPr>
          <w:rFonts w:ascii="Lato Light" w:hAnsi="Lato Light"/>
        </w:rPr>
        <w:t>HSA.</w:t>
      </w:r>
    </w:p>
    <w:p w14:paraId="763A6259" w14:textId="20C51647" w:rsidR="001226AB" w:rsidRDefault="00BC2AFB" w:rsidP="00474B78">
      <w:pPr>
        <w:rPr>
          <w:rFonts w:ascii="Lato Light" w:hAnsi="Lato Light"/>
        </w:rPr>
      </w:pPr>
      <w:r w:rsidRPr="001226AB">
        <w:rPr>
          <w:rFonts w:ascii="Lato Light" w:hAnsi="Lato Light"/>
          <w:i/>
          <w:iCs/>
        </w:rPr>
        <w:t>Preventive care benefits for HDHPs</w:t>
      </w:r>
      <w:r>
        <w:rPr>
          <w:rFonts w:ascii="Lato Light" w:hAnsi="Lato Light"/>
        </w:rPr>
        <w:t xml:space="preserve"> – </w:t>
      </w:r>
      <w:r w:rsidR="00555851">
        <w:rPr>
          <w:rFonts w:ascii="Lato Light" w:hAnsi="Lato Light"/>
        </w:rPr>
        <w:t>The IRS gives an updated list of benefits that can be considered preventive care under a high deductible health plan</w:t>
      </w:r>
      <w:r w:rsidR="001226AB">
        <w:rPr>
          <w:rFonts w:ascii="Lato Light" w:hAnsi="Lato Light"/>
        </w:rPr>
        <w:t xml:space="preserve"> and paid prior to meeting the minimum HDHP deductible:</w:t>
      </w:r>
      <w:r w:rsidR="00555851">
        <w:rPr>
          <w:rFonts w:ascii="Lato Light" w:hAnsi="Lato Light"/>
        </w:rPr>
        <w:t xml:space="preserve"> </w:t>
      </w:r>
    </w:p>
    <w:p w14:paraId="734FCC6A" w14:textId="77777777" w:rsidR="001226AB" w:rsidRDefault="00555851" w:rsidP="001226AB">
      <w:pPr>
        <w:pStyle w:val="ListParagraph"/>
        <w:numPr>
          <w:ilvl w:val="0"/>
          <w:numId w:val="25"/>
        </w:numPr>
        <w:rPr>
          <w:rFonts w:ascii="Lato Light" w:hAnsi="Lato Light"/>
        </w:rPr>
      </w:pPr>
      <w:r w:rsidRPr="001226AB">
        <w:rPr>
          <w:rFonts w:ascii="Lato Light" w:hAnsi="Lato Light"/>
        </w:rPr>
        <w:t>OTC oral contraceptives</w:t>
      </w:r>
      <w:r w:rsidR="001226AB">
        <w:rPr>
          <w:rFonts w:ascii="Lato Light" w:hAnsi="Lato Light"/>
        </w:rPr>
        <w:t xml:space="preserve"> and</w:t>
      </w:r>
      <w:r w:rsidRPr="001226AB">
        <w:rPr>
          <w:rFonts w:ascii="Lato Light" w:hAnsi="Lato Light"/>
        </w:rPr>
        <w:t xml:space="preserve"> OTC male condoms, </w:t>
      </w:r>
    </w:p>
    <w:p w14:paraId="47D77C5B" w14:textId="77777777" w:rsidR="001226AB" w:rsidRDefault="001226AB" w:rsidP="001226AB">
      <w:pPr>
        <w:pStyle w:val="ListParagraph"/>
        <w:numPr>
          <w:ilvl w:val="0"/>
          <w:numId w:val="25"/>
        </w:numPr>
        <w:rPr>
          <w:rFonts w:ascii="Lato Light" w:hAnsi="Lato Light"/>
        </w:rPr>
      </w:pPr>
      <w:r>
        <w:rPr>
          <w:rFonts w:ascii="Lato Light" w:hAnsi="Lato Light"/>
        </w:rPr>
        <w:t>B</w:t>
      </w:r>
      <w:r w:rsidR="00555851" w:rsidRPr="001226AB">
        <w:rPr>
          <w:rFonts w:ascii="Lato Light" w:hAnsi="Lato Light"/>
        </w:rPr>
        <w:t xml:space="preserve">reast cancer screenings other than mammograms (e.g., MRIs and ultrasounds), </w:t>
      </w:r>
    </w:p>
    <w:p w14:paraId="6509107D" w14:textId="1AC5033F" w:rsidR="001226AB" w:rsidRDefault="001226AB" w:rsidP="001226AB">
      <w:pPr>
        <w:pStyle w:val="ListParagraph"/>
        <w:numPr>
          <w:ilvl w:val="0"/>
          <w:numId w:val="25"/>
        </w:numPr>
        <w:rPr>
          <w:rFonts w:ascii="Lato Light" w:hAnsi="Lato Light"/>
        </w:rPr>
      </w:pPr>
      <w:r>
        <w:rPr>
          <w:rFonts w:ascii="Lato Light" w:hAnsi="Lato Light"/>
        </w:rPr>
        <w:t>C</w:t>
      </w:r>
      <w:r w:rsidR="00555851" w:rsidRPr="001226AB">
        <w:rPr>
          <w:rFonts w:ascii="Lato Light" w:hAnsi="Lato Light"/>
        </w:rPr>
        <w:t>ontinuous glucose mo</w:t>
      </w:r>
      <w:r>
        <w:rPr>
          <w:rFonts w:ascii="Lato Light" w:hAnsi="Lato Light"/>
        </w:rPr>
        <w:t xml:space="preserve">nitors under the same circumstances as other glucometers, if the monitor measures glucose levels using a similar detection mechanism. </w:t>
      </w:r>
      <w:r w:rsidRPr="001226AB">
        <w:rPr>
          <w:rFonts w:ascii="Lato Light" w:hAnsi="Lato Light"/>
        </w:rPr>
        <w:t>Other medical functions (e.g., insulin delivery) or nonmedical functions (other than minor functions—e.g., clock and date) that the continuous glucose monitor has must also be preventive care for the HDHP to cover benefits for the monitor before the HDHP minimum deductible is met.</w:t>
      </w:r>
    </w:p>
    <w:p w14:paraId="3FF7288F" w14:textId="7A366D00" w:rsidR="00BC2AFB" w:rsidRPr="001226AB" w:rsidRDefault="001226AB" w:rsidP="001226AB">
      <w:pPr>
        <w:pStyle w:val="ListParagraph"/>
        <w:numPr>
          <w:ilvl w:val="0"/>
          <w:numId w:val="25"/>
        </w:numPr>
        <w:rPr>
          <w:rFonts w:ascii="Lato Light" w:hAnsi="Lato Light"/>
        </w:rPr>
      </w:pPr>
      <w:r>
        <w:rPr>
          <w:rFonts w:ascii="Lato Light" w:hAnsi="Lato Light"/>
        </w:rPr>
        <w:t xml:space="preserve">Insulin products, including any devices used to administer or deliver insulin products, whether it is for treatment of diabetes or prevent development of a secondary consider. </w:t>
      </w:r>
    </w:p>
    <w:p w14:paraId="3C785712" w14:textId="5E2680B8" w:rsidR="00474B78" w:rsidRDefault="001226AB" w:rsidP="00DE05EE">
      <w:pPr>
        <w:spacing w:after="0" w:line="240" w:lineRule="auto"/>
        <w:rPr>
          <w:rFonts w:ascii="Lato Light" w:hAnsi="Lato Light"/>
        </w:rPr>
      </w:pPr>
      <w:r>
        <w:rPr>
          <w:rFonts w:ascii="Lato Light" w:hAnsi="Lato Light"/>
        </w:rPr>
        <w:t xml:space="preserve">Changes in coverage may require amendments to the plan documents. TPAs and employers offering HDHPs, FSAs, HRAs and HSAs will need to review this guidance and update their plan benefits </w:t>
      </w:r>
      <w:r w:rsidR="00F71275">
        <w:rPr>
          <w:rFonts w:ascii="Lato Light" w:hAnsi="Lato Light"/>
        </w:rPr>
        <w:t xml:space="preserve">and plan documents </w:t>
      </w:r>
      <w:r>
        <w:rPr>
          <w:rFonts w:ascii="Lato Light" w:hAnsi="Lato Light"/>
        </w:rPr>
        <w:t xml:space="preserve">accordingly. </w:t>
      </w:r>
    </w:p>
    <w:p w14:paraId="4712CC73" w14:textId="77777777" w:rsidR="00474B78" w:rsidRPr="00AB7AF8" w:rsidRDefault="00474B78" w:rsidP="00DE05EE">
      <w:pPr>
        <w:spacing w:after="0" w:line="240" w:lineRule="auto"/>
        <w:rPr>
          <w:rFonts w:ascii="Lato Light" w:hAnsi="Lato Light"/>
        </w:rPr>
      </w:pPr>
    </w:p>
    <w:p w14:paraId="20D71F61" w14:textId="73A40039" w:rsidR="00E55B15" w:rsidRPr="00AB7AF8" w:rsidRDefault="00E55B15" w:rsidP="004C2534">
      <w:pPr>
        <w:spacing w:after="0" w:line="240" w:lineRule="auto"/>
        <w:rPr>
          <w:rFonts w:ascii="Lato Light" w:hAnsi="Lato Light"/>
        </w:rPr>
      </w:pPr>
      <w:r w:rsidRPr="00AB7AF8">
        <w:rPr>
          <w:rFonts w:ascii="Lato Light" w:eastAsia="Times New Roman" w:hAnsi="Lato Light" w:cs="Calibri"/>
          <w:b/>
          <w:bCs/>
          <w:color w:val="000000"/>
        </w:rPr>
        <w:t>FAQ:</w:t>
      </w:r>
    </w:p>
    <w:p w14:paraId="2385A583" w14:textId="592B62B0" w:rsidR="00E55B15" w:rsidRPr="00AB7AF8" w:rsidRDefault="00E55B15" w:rsidP="004C2534">
      <w:pPr>
        <w:spacing w:after="0" w:line="240" w:lineRule="auto"/>
        <w:rPr>
          <w:rFonts w:ascii="Lato Light" w:eastAsia="Times New Roman" w:hAnsi="Lato Light" w:cs="Calibri"/>
          <w:color w:val="000000"/>
        </w:rPr>
      </w:pPr>
    </w:p>
    <w:p w14:paraId="53006469" w14:textId="68288B8B" w:rsidR="00620284" w:rsidRPr="001A7FED" w:rsidRDefault="001A7FED" w:rsidP="00620284">
      <w:pPr>
        <w:spacing w:after="0" w:line="240" w:lineRule="auto"/>
        <w:rPr>
          <w:rFonts w:ascii="Lato Light" w:eastAsia="Times New Roman" w:hAnsi="Lato Light" w:cs="Calibri"/>
          <w:b/>
          <w:bCs/>
          <w:color w:val="000000"/>
        </w:rPr>
      </w:pPr>
      <w:r w:rsidRPr="001A7FED">
        <w:rPr>
          <w:rFonts w:ascii="Lato Light" w:eastAsia="Times New Roman" w:hAnsi="Lato Light" w:cs="Calibri"/>
          <w:b/>
          <w:bCs/>
          <w:color w:val="000000"/>
        </w:rPr>
        <w:t xml:space="preserve">How do </w:t>
      </w:r>
      <w:r>
        <w:rPr>
          <w:rFonts w:ascii="Lato Light" w:eastAsia="Times New Roman" w:hAnsi="Lato Light" w:cs="Calibri"/>
          <w:b/>
          <w:bCs/>
          <w:color w:val="000000"/>
        </w:rPr>
        <w:t>employers</w:t>
      </w:r>
      <w:r w:rsidRPr="001A7FED">
        <w:rPr>
          <w:rFonts w:ascii="Lato Light" w:eastAsia="Times New Roman" w:hAnsi="Lato Light" w:cs="Calibri"/>
          <w:b/>
          <w:bCs/>
          <w:color w:val="000000"/>
        </w:rPr>
        <w:t xml:space="preserve"> comply with the HIPAA Reproductive Health Care rules by December 23, 2024?</w:t>
      </w:r>
    </w:p>
    <w:p w14:paraId="6AA38F5C" w14:textId="77777777" w:rsidR="001A7FED" w:rsidRPr="001A7FED" w:rsidRDefault="001A7FED" w:rsidP="00620284">
      <w:pPr>
        <w:spacing w:after="0" w:line="240" w:lineRule="auto"/>
        <w:rPr>
          <w:rFonts w:ascii="Lato Light" w:eastAsia="Times New Roman" w:hAnsi="Lato Light" w:cs="Calibri"/>
          <w:bCs/>
          <w:color w:val="000000"/>
        </w:rPr>
      </w:pPr>
    </w:p>
    <w:p w14:paraId="1AEA9CD4" w14:textId="3780366E" w:rsidR="001A7FED" w:rsidRPr="001A7FED" w:rsidRDefault="001A7FED" w:rsidP="001A7FED">
      <w:pPr>
        <w:spacing w:after="0" w:line="240" w:lineRule="auto"/>
        <w:rPr>
          <w:rFonts w:ascii="Lato Light" w:eastAsia="Times New Roman" w:hAnsi="Lato Light" w:cs="Calibri"/>
          <w:bCs/>
          <w:color w:val="000000"/>
        </w:rPr>
      </w:pPr>
      <w:r>
        <w:rPr>
          <w:rFonts w:ascii="Lato Light" w:eastAsia="Times New Roman" w:hAnsi="Lato Light" w:cs="Calibri"/>
          <w:bCs/>
          <w:color w:val="000000"/>
        </w:rPr>
        <w:t>T</w:t>
      </w:r>
      <w:r w:rsidRPr="001A7FED">
        <w:rPr>
          <w:rFonts w:ascii="Lato Light" w:eastAsia="Times New Roman" w:hAnsi="Lato Light" w:cs="Calibri"/>
          <w:bCs/>
          <w:color w:val="000000"/>
        </w:rPr>
        <w:t xml:space="preserve">he primary changes imposed by the new </w:t>
      </w:r>
      <w:r>
        <w:rPr>
          <w:rFonts w:ascii="Lato Light" w:eastAsia="Times New Roman" w:hAnsi="Lato Light" w:cs="Calibri"/>
          <w:bCs/>
          <w:color w:val="000000"/>
        </w:rPr>
        <w:t xml:space="preserve">HIPAA </w:t>
      </w:r>
      <w:r w:rsidRPr="001A7FED">
        <w:rPr>
          <w:rFonts w:ascii="Lato Light" w:eastAsia="Times New Roman" w:hAnsi="Lato Light" w:cs="Calibri"/>
          <w:bCs/>
          <w:color w:val="000000"/>
        </w:rPr>
        <w:t>rules are:</w:t>
      </w:r>
    </w:p>
    <w:p w14:paraId="358F361A" w14:textId="77777777" w:rsidR="001A7FED" w:rsidRPr="001A7FED" w:rsidRDefault="001A7FED" w:rsidP="001A7FED">
      <w:pPr>
        <w:spacing w:after="0" w:line="240" w:lineRule="auto"/>
        <w:rPr>
          <w:rFonts w:ascii="Lato Light" w:eastAsia="Times New Roman" w:hAnsi="Lato Light" w:cs="Calibri"/>
          <w:bCs/>
          <w:color w:val="000000"/>
        </w:rPr>
      </w:pPr>
    </w:p>
    <w:p w14:paraId="587A88B2" w14:textId="77777777" w:rsidR="00DD266E" w:rsidRDefault="001A7FED" w:rsidP="001A7FED">
      <w:pPr>
        <w:pStyle w:val="ListParagraph"/>
        <w:numPr>
          <w:ilvl w:val="0"/>
          <w:numId w:val="21"/>
        </w:numPr>
        <w:spacing w:after="0" w:line="240" w:lineRule="auto"/>
        <w:rPr>
          <w:rFonts w:ascii="Lato Light" w:eastAsia="Times New Roman" w:hAnsi="Lato Light" w:cs="Calibri"/>
          <w:bCs/>
          <w:color w:val="000000"/>
        </w:rPr>
      </w:pPr>
      <w:r w:rsidRPr="00DD266E">
        <w:rPr>
          <w:rFonts w:ascii="Lato Light" w:eastAsia="Times New Roman" w:hAnsi="Lato Light" w:cs="Calibri"/>
          <w:bCs/>
          <w:color w:val="000000"/>
        </w:rPr>
        <w:lastRenderedPageBreak/>
        <w:t>Prohibits the use or disclosure of PHI in particular circumstances where reproductive health care is legally sought, obtained, provided, or facilitated.</w:t>
      </w:r>
    </w:p>
    <w:p w14:paraId="3CE87D71" w14:textId="77777777" w:rsidR="00DD266E" w:rsidRDefault="00DD266E" w:rsidP="00DD266E">
      <w:pPr>
        <w:pStyle w:val="ListParagraph"/>
        <w:spacing w:after="0" w:line="240" w:lineRule="auto"/>
        <w:rPr>
          <w:rFonts w:ascii="Lato Light" w:eastAsia="Times New Roman" w:hAnsi="Lato Light" w:cs="Calibri"/>
          <w:bCs/>
          <w:color w:val="000000"/>
        </w:rPr>
      </w:pPr>
    </w:p>
    <w:p w14:paraId="20744DA5" w14:textId="77777777" w:rsidR="00DD266E" w:rsidRDefault="001A7FED" w:rsidP="001A7FED">
      <w:pPr>
        <w:pStyle w:val="ListParagraph"/>
        <w:numPr>
          <w:ilvl w:val="0"/>
          <w:numId w:val="21"/>
        </w:numPr>
        <w:spacing w:after="0" w:line="240" w:lineRule="auto"/>
        <w:rPr>
          <w:rFonts w:ascii="Lato Light" w:eastAsia="Times New Roman" w:hAnsi="Lato Light" w:cs="Calibri"/>
          <w:bCs/>
          <w:color w:val="000000"/>
        </w:rPr>
      </w:pPr>
      <w:r w:rsidRPr="00DD266E">
        <w:rPr>
          <w:rFonts w:ascii="Lato Light" w:eastAsia="Times New Roman" w:hAnsi="Lato Light" w:cs="Calibri"/>
          <w:bCs/>
          <w:color w:val="000000"/>
        </w:rPr>
        <w:t>Requires a health plan (or its business associates) to obtain a signed attestation that certain requests for PHI potentially related to reproductive health care are not for prohibited purposes.</w:t>
      </w:r>
    </w:p>
    <w:p w14:paraId="28D3867D" w14:textId="77777777" w:rsidR="00DD266E" w:rsidRPr="00DD266E" w:rsidRDefault="00DD266E" w:rsidP="00DD266E">
      <w:pPr>
        <w:pStyle w:val="ListParagraph"/>
        <w:rPr>
          <w:rFonts w:ascii="Lato Light" w:eastAsia="Times New Roman" w:hAnsi="Lato Light" w:cs="Calibri"/>
          <w:bCs/>
          <w:color w:val="000000"/>
        </w:rPr>
      </w:pPr>
    </w:p>
    <w:p w14:paraId="42A11AE0" w14:textId="7C21317C" w:rsidR="001A7FED" w:rsidRPr="00DD266E" w:rsidRDefault="001A7FED" w:rsidP="001A7FED">
      <w:pPr>
        <w:pStyle w:val="ListParagraph"/>
        <w:numPr>
          <w:ilvl w:val="0"/>
          <w:numId w:val="21"/>
        </w:numPr>
        <w:spacing w:after="0" w:line="240" w:lineRule="auto"/>
        <w:rPr>
          <w:rFonts w:ascii="Lato Light" w:eastAsia="Times New Roman" w:hAnsi="Lato Light" w:cs="Calibri"/>
          <w:bCs/>
          <w:color w:val="000000"/>
        </w:rPr>
      </w:pPr>
      <w:r w:rsidRPr="00DD266E">
        <w:rPr>
          <w:rFonts w:ascii="Lato Light" w:eastAsia="Times New Roman" w:hAnsi="Lato Light" w:cs="Calibri"/>
          <w:bCs/>
          <w:color w:val="000000"/>
        </w:rPr>
        <w:t>Requires health plans to modify their notice of privacy practices to support reproductive health care privacy.</w:t>
      </w:r>
    </w:p>
    <w:p w14:paraId="3990D187" w14:textId="77777777" w:rsidR="001A7FED" w:rsidRPr="001A7FED" w:rsidRDefault="001A7FED" w:rsidP="001A7FED">
      <w:pPr>
        <w:spacing w:after="0" w:line="240" w:lineRule="auto"/>
        <w:rPr>
          <w:rFonts w:ascii="Lato Light" w:eastAsia="Times New Roman" w:hAnsi="Lato Light" w:cs="Calibri"/>
          <w:bCs/>
          <w:color w:val="000000"/>
        </w:rPr>
      </w:pPr>
    </w:p>
    <w:p w14:paraId="03C2ECD5" w14:textId="797D5ADE" w:rsidR="001A7FED" w:rsidRPr="001A7FED" w:rsidRDefault="001A7FED" w:rsidP="001A7FED">
      <w:pPr>
        <w:spacing w:after="0" w:line="240" w:lineRule="auto"/>
        <w:rPr>
          <w:rFonts w:ascii="Lato Light" w:eastAsia="Times New Roman" w:hAnsi="Lato Light" w:cs="Calibri"/>
          <w:bCs/>
          <w:color w:val="000000"/>
        </w:rPr>
      </w:pPr>
      <w:r w:rsidRPr="001A7FED">
        <w:rPr>
          <w:rFonts w:ascii="Lato Light" w:eastAsia="Times New Roman" w:hAnsi="Lato Light" w:cs="Calibri"/>
          <w:bCs/>
          <w:color w:val="000000"/>
        </w:rPr>
        <w:t>From a health plan prospective, most PHI related to reproductive health care will remain in the hands of third-party administrators and insurance carriers</w:t>
      </w:r>
      <w:r>
        <w:rPr>
          <w:rFonts w:ascii="Lato Light" w:eastAsia="Times New Roman" w:hAnsi="Lato Light" w:cs="Calibri"/>
          <w:bCs/>
          <w:color w:val="000000"/>
        </w:rPr>
        <w:t>. However,</w:t>
      </w:r>
      <w:r w:rsidRPr="001A7FED">
        <w:rPr>
          <w:rFonts w:ascii="Lato Light" w:eastAsia="Times New Roman" w:hAnsi="Lato Light" w:cs="Calibri"/>
          <w:bCs/>
          <w:color w:val="000000"/>
        </w:rPr>
        <w:t xml:space="preserve"> the new rules will require action on the part of employers with self-funded group health plans (or insured plans with access to PHI) by Dec. 22, 2024. In particular, employers will need to:</w:t>
      </w:r>
    </w:p>
    <w:p w14:paraId="6804511D" w14:textId="77777777" w:rsidR="001A7FED" w:rsidRPr="001A7FED" w:rsidRDefault="001A7FED" w:rsidP="001A7FED">
      <w:pPr>
        <w:spacing w:after="0" w:line="240" w:lineRule="auto"/>
        <w:rPr>
          <w:rFonts w:ascii="Lato Light" w:eastAsia="Times New Roman" w:hAnsi="Lato Light" w:cs="Calibri"/>
          <w:bCs/>
          <w:color w:val="000000"/>
        </w:rPr>
      </w:pPr>
    </w:p>
    <w:p w14:paraId="48F6CC09" w14:textId="5024075E" w:rsidR="001A7FED" w:rsidRPr="00DD266E" w:rsidRDefault="00AF3401" w:rsidP="00DD266E">
      <w:pPr>
        <w:pStyle w:val="ListParagraph"/>
        <w:numPr>
          <w:ilvl w:val="0"/>
          <w:numId w:val="22"/>
        </w:numPr>
        <w:spacing w:after="0" w:line="240" w:lineRule="auto"/>
        <w:rPr>
          <w:rFonts w:ascii="Lato Light" w:eastAsia="Times New Roman" w:hAnsi="Lato Light" w:cs="Calibri"/>
          <w:bCs/>
          <w:color w:val="000000"/>
        </w:rPr>
      </w:pPr>
      <w:r w:rsidRPr="00DD266E">
        <w:rPr>
          <w:rFonts w:ascii="Lato Light" w:eastAsia="Times New Roman" w:hAnsi="Lato Light" w:cs="Calibri"/>
          <w:bCs/>
          <w:color w:val="000000"/>
        </w:rPr>
        <w:t>Conduct</w:t>
      </w:r>
      <w:r w:rsidR="001A7FED" w:rsidRPr="00DD266E">
        <w:rPr>
          <w:rFonts w:ascii="Lato Light" w:eastAsia="Times New Roman" w:hAnsi="Lato Light" w:cs="Calibri"/>
          <w:bCs/>
          <w:color w:val="000000"/>
        </w:rPr>
        <w:t xml:space="preserve"> </w:t>
      </w:r>
      <w:r w:rsidRPr="00DD266E">
        <w:rPr>
          <w:rFonts w:ascii="Lato Light" w:eastAsia="Times New Roman" w:hAnsi="Lato Light" w:cs="Calibri"/>
          <w:bCs/>
          <w:color w:val="000000"/>
        </w:rPr>
        <w:t xml:space="preserve">HIPAA </w:t>
      </w:r>
      <w:r w:rsidR="001A7FED" w:rsidRPr="00DD266E">
        <w:rPr>
          <w:rFonts w:ascii="Lato Light" w:eastAsia="Times New Roman" w:hAnsi="Lato Light" w:cs="Calibri"/>
          <w:bCs/>
          <w:color w:val="000000"/>
        </w:rPr>
        <w:t>training</w:t>
      </w:r>
      <w:r w:rsidRPr="00DD266E">
        <w:rPr>
          <w:rFonts w:ascii="Lato Light" w:eastAsia="Times New Roman" w:hAnsi="Lato Light" w:cs="Calibri"/>
          <w:bCs/>
          <w:color w:val="000000"/>
        </w:rPr>
        <w:t xml:space="preserve"> to incorporate the new requirements. </w:t>
      </w:r>
    </w:p>
    <w:p w14:paraId="3FA33A86" w14:textId="2071B7F5" w:rsidR="001A7FED" w:rsidRPr="00DD266E" w:rsidRDefault="001A7FED" w:rsidP="00DD266E">
      <w:pPr>
        <w:pStyle w:val="ListParagraph"/>
        <w:numPr>
          <w:ilvl w:val="0"/>
          <w:numId w:val="22"/>
        </w:numPr>
        <w:spacing w:after="0" w:line="240" w:lineRule="auto"/>
        <w:rPr>
          <w:rFonts w:ascii="Lato Light" w:eastAsia="Times New Roman" w:hAnsi="Lato Light" w:cs="Calibri"/>
          <w:bCs/>
          <w:color w:val="000000"/>
        </w:rPr>
      </w:pPr>
      <w:r w:rsidRPr="00DD266E">
        <w:rPr>
          <w:rFonts w:ascii="Lato Light" w:eastAsia="Times New Roman" w:hAnsi="Lato Light" w:cs="Calibri"/>
          <w:bCs/>
          <w:color w:val="000000"/>
        </w:rPr>
        <w:t>Revise HIPAA policies and procedures</w:t>
      </w:r>
      <w:r w:rsidR="00AF3401" w:rsidRPr="00DD266E">
        <w:rPr>
          <w:rFonts w:ascii="Lato Light" w:eastAsia="Times New Roman" w:hAnsi="Lato Light" w:cs="Calibri"/>
          <w:bCs/>
          <w:color w:val="000000"/>
        </w:rPr>
        <w:t xml:space="preserve"> and BAAs.</w:t>
      </w:r>
    </w:p>
    <w:p w14:paraId="154F438E" w14:textId="56EA8B45" w:rsidR="001A7FED" w:rsidRPr="00DD266E" w:rsidRDefault="001A7FED" w:rsidP="00DD266E">
      <w:pPr>
        <w:pStyle w:val="ListParagraph"/>
        <w:numPr>
          <w:ilvl w:val="0"/>
          <w:numId w:val="22"/>
        </w:numPr>
        <w:spacing w:after="0" w:line="240" w:lineRule="auto"/>
        <w:rPr>
          <w:rFonts w:ascii="Lato Light" w:eastAsia="Times New Roman" w:hAnsi="Lato Light" w:cs="Calibri"/>
          <w:bCs/>
          <w:color w:val="000000"/>
        </w:rPr>
      </w:pPr>
      <w:r w:rsidRPr="00DD266E">
        <w:rPr>
          <w:rFonts w:ascii="Lato Light" w:eastAsia="Times New Roman" w:hAnsi="Lato Light" w:cs="Calibri"/>
          <w:bCs/>
          <w:color w:val="000000"/>
        </w:rPr>
        <w:t xml:space="preserve">Update &amp; distribute the </w:t>
      </w:r>
      <w:r w:rsidR="00AF3401" w:rsidRPr="00DD266E">
        <w:rPr>
          <w:rFonts w:ascii="Lato Light" w:eastAsia="Times New Roman" w:hAnsi="Lato Light" w:cs="Calibri"/>
          <w:bCs/>
          <w:color w:val="000000"/>
        </w:rPr>
        <w:t xml:space="preserve">new </w:t>
      </w:r>
      <w:r w:rsidRPr="00DD266E">
        <w:rPr>
          <w:rFonts w:ascii="Lato Light" w:eastAsia="Times New Roman" w:hAnsi="Lato Light" w:cs="Calibri"/>
          <w:bCs/>
          <w:color w:val="000000"/>
        </w:rPr>
        <w:t>Notice of Privacy Practices (by February 16, 2026)</w:t>
      </w:r>
    </w:p>
    <w:p w14:paraId="15824DB3" w14:textId="038EC42B" w:rsidR="001A7FED" w:rsidRPr="00DD266E" w:rsidRDefault="001A7FED" w:rsidP="00DD266E">
      <w:pPr>
        <w:pStyle w:val="ListParagraph"/>
        <w:numPr>
          <w:ilvl w:val="0"/>
          <w:numId w:val="22"/>
        </w:numPr>
        <w:spacing w:after="0" w:line="240" w:lineRule="auto"/>
        <w:rPr>
          <w:rFonts w:ascii="Lato Light" w:eastAsia="Times New Roman" w:hAnsi="Lato Light" w:cs="Calibri"/>
          <w:bCs/>
          <w:color w:val="000000"/>
        </w:rPr>
      </w:pPr>
      <w:r w:rsidRPr="00DD266E">
        <w:rPr>
          <w:rFonts w:ascii="Lato Light" w:eastAsia="Times New Roman" w:hAnsi="Lato Light" w:cs="Calibri"/>
          <w:bCs/>
          <w:color w:val="000000"/>
        </w:rPr>
        <w:t xml:space="preserve">Develop an attestation </w:t>
      </w:r>
      <w:hyperlink r:id="rId18" w:history="1">
        <w:r w:rsidRPr="00DD266E">
          <w:rPr>
            <w:rStyle w:val="Hyperlink"/>
            <w:rFonts w:ascii="Lato Light" w:eastAsia="Times New Roman" w:hAnsi="Lato Light" w:cs="Calibri"/>
            <w:bCs/>
          </w:rPr>
          <w:t>form</w:t>
        </w:r>
      </w:hyperlink>
      <w:r w:rsidR="00880762">
        <w:rPr>
          <w:rStyle w:val="Hyperlink"/>
          <w:rFonts w:ascii="Lato Light" w:eastAsia="Times New Roman" w:hAnsi="Lato Light" w:cs="Calibri"/>
          <w:bCs/>
        </w:rPr>
        <w:t>.</w:t>
      </w:r>
    </w:p>
    <w:p w14:paraId="42EB8D11" w14:textId="77777777" w:rsidR="001A7FED" w:rsidRPr="001A7FED" w:rsidRDefault="001A7FED" w:rsidP="001A7FED">
      <w:pPr>
        <w:spacing w:after="0" w:line="240" w:lineRule="auto"/>
        <w:rPr>
          <w:rFonts w:ascii="Lato Light" w:eastAsia="Times New Roman" w:hAnsi="Lato Light" w:cs="Calibri"/>
          <w:bCs/>
          <w:color w:val="000000"/>
        </w:rPr>
      </w:pPr>
    </w:p>
    <w:p w14:paraId="18AB35D3" w14:textId="7F3294F0" w:rsidR="001A7FED" w:rsidRPr="001A7FED" w:rsidRDefault="001A7FED" w:rsidP="001A7FED">
      <w:pPr>
        <w:spacing w:after="0" w:line="240" w:lineRule="auto"/>
        <w:rPr>
          <w:rFonts w:ascii="Lato Light" w:eastAsia="Times New Roman" w:hAnsi="Lato Light" w:cs="Calibri"/>
          <w:bCs/>
          <w:color w:val="000000"/>
        </w:rPr>
      </w:pPr>
      <w:r w:rsidRPr="001A7FED">
        <w:rPr>
          <w:rFonts w:ascii="Lato Light" w:eastAsia="Times New Roman" w:hAnsi="Lato Light" w:cs="Calibri"/>
          <w:bCs/>
          <w:color w:val="000000"/>
        </w:rPr>
        <w:t>Note: Many employers with fully insured health plans are not required to maintain or distribute their own privacy notice, as this responsibility is primarily imposed on the health insurance issuer. However, fully insured health plans with access to PHI (other than enrollment and summary health information) would also have to comply with the above obligations.</w:t>
      </w:r>
    </w:p>
    <w:p w14:paraId="7B3C93CD" w14:textId="77777777" w:rsidR="001A7FED" w:rsidRPr="001A7FED" w:rsidRDefault="001A7FED" w:rsidP="001A7FED">
      <w:pPr>
        <w:spacing w:after="0" w:line="240" w:lineRule="auto"/>
        <w:rPr>
          <w:rFonts w:ascii="Lato Light" w:eastAsia="Times New Roman" w:hAnsi="Lato Light" w:cs="Calibri"/>
          <w:bCs/>
          <w:color w:val="000000"/>
        </w:rPr>
      </w:pPr>
    </w:p>
    <w:p w14:paraId="6684BDF8" w14:textId="402CB3D1" w:rsidR="001A7FED" w:rsidRPr="001A7FED" w:rsidRDefault="00880762" w:rsidP="001A7FED">
      <w:pPr>
        <w:spacing w:after="0" w:line="240" w:lineRule="auto"/>
        <w:rPr>
          <w:rFonts w:ascii="Lato Light" w:eastAsia="Times New Roman" w:hAnsi="Lato Light" w:cs="Calibri"/>
          <w:bCs/>
          <w:color w:val="000000"/>
        </w:rPr>
      </w:pPr>
      <w:r>
        <w:rPr>
          <w:rFonts w:ascii="Lato Light" w:eastAsia="Times New Roman" w:hAnsi="Lato Light" w:cs="Calibri"/>
          <w:bCs/>
          <w:color w:val="000000"/>
        </w:rPr>
        <w:t>In addition</w:t>
      </w:r>
      <w:r w:rsidR="001A7FED" w:rsidRPr="001A7FED">
        <w:rPr>
          <w:rFonts w:ascii="Lato Light" w:eastAsia="Times New Roman" w:hAnsi="Lato Light" w:cs="Calibri"/>
          <w:bCs/>
          <w:color w:val="000000"/>
        </w:rPr>
        <w:t>, HHS provides model privacy notices for health care providers and health plans to use. It is expected that HHS will update its model notices to incorporate the new requirements</w:t>
      </w:r>
      <w:r w:rsidR="00AF3401">
        <w:rPr>
          <w:rFonts w:ascii="Lato Light" w:eastAsia="Times New Roman" w:hAnsi="Lato Light" w:cs="Calibri"/>
          <w:bCs/>
          <w:color w:val="000000"/>
        </w:rPr>
        <w:t xml:space="preserve"> for 2026</w:t>
      </w:r>
      <w:r w:rsidR="001A7FED" w:rsidRPr="001A7FED">
        <w:rPr>
          <w:rFonts w:ascii="Lato Light" w:eastAsia="Times New Roman" w:hAnsi="Lato Light" w:cs="Calibri"/>
          <w:bCs/>
          <w:color w:val="000000"/>
        </w:rPr>
        <w:t>. However, at this time</w:t>
      </w:r>
      <w:r w:rsidR="00AF3401">
        <w:rPr>
          <w:rFonts w:ascii="Lato Light" w:eastAsia="Times New Roman" w:hAnsi="Lato Light" w:cs="Calibri"/>
          <w:bCs/>
          <w:color w:val="000000"/>
        </w:rPr>
        <w:t>, new model notices have</w:t>
      </w:r>
      <w:r w:rsidR="00DD266E">
        <w:rPr>
          <w:rFonts w:ascii="Lato Light" w:eastAsia="Times New Roman" w:hAnsi="Lato Light" w:cs="Calibri"/>
          <w:bCs/>
          <w:color w:val="000000"/>
        </w:rPr>
        <w:t xml:space="preserve"> not </w:t>
      </w:r>
      <w:r w:rsidR="00AF3401">
        <w:rPr>
          <w:rFonts w:ascii="Lato Light" w:eastAsia="Times New Roman" w:hAnsi="Lato Light" w:cs="Calibri"/>
          <w:bCs/>
          <w:color w:val="000000"/>
        </w:rPr>
        <w:t>yet been issued</w:t>
      </w:r>
      <w:r>
        <w:rPr>
          <w:rFonts w:ascii="Lato Light" w:eastAsia="Times New Roman" w:hAnsi="Lato Light" w:cs="Calibri"/>
          <w:bCs/>
          <w:color w:val="000000"/>
        </w:rPr>
        <w:t>.</w:t>
      </w:r>
    </w:p>
    <w:sectPr w:rsidR="001A7FED" w:rsidRPr="001A7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E7D95"/>
    <w:multiLevelType w:val="multilevel"/>
    <w:tmpl w:val="35D0C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5007A"/>
    <w:multiLevelType w:val="hybridMultilevel"/>
    <w:tmpl w:val="E4BE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542FB"/>
    <w:multiLevelType w:val="hybridMultilevel"/>
    <w:tmpl w:val="A9D0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136AB"/>
    <w:multiLevelType w:val="hybridMultilevel"/>
    <w:tmpl w:val="FD36B5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01D9B"/>
    <w:multiLevelType w:val="hybridMultilevel"/>
    <w:tmpl w:val="8AB26FF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346BF6"/>
    <w:multiLevelType w:val="hybridMultilevel"/>
    <w:tmpl w:val="0C6E41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12D21"/>
    <w:multiLevelType w:val="hybridMultilevel"/>
    <w:tmpl w:val="EF54F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A7C1A"/>
    <w:multiLevelType w:val="hybridMultilevel"/>
    <w:tmpl w:val="64FCA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0640E"/>
    <w:multiLevelType w:val="multilevel"/>
    <w:tmpl w:val="89062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F8777B"/>
    <w:multiLevelType w:val="hybridMultilevel"/>
    <w:tmpl w:val="0616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66709"/>
    <w:multiLevelType w:val="hybridMultilevel"/>
    <w:tmpl w:val="4292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A3282"/>
    <w:multiLevelType w:val="multilevel"/>
    <w:tmpl w:val="D74C0F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A03C0A"/>
    <w:multiLevelType w:val="hybridMultilevel"/>
    <w:tmpl w:val="2642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250202"/>
    <w:multiLevelType w:val="hybridMultilevel"/>
    <w:tmpl w:val="64F695A6"/>
    <w:lvl w:ilvl="0" w:tplc="1E1EC508">
      <w:numFmt w:val="bullet"/>
      <w:lvlText w:val="-"/>
      <w:lvlJc w:val="left"/>
      <w:pPr>
        <w:ind w:left="720" w:hanging="360"/>
      </w:pPr>
      <w:rPr>
        <w:rFonts w:ascii="Lato Light" w:eastAsiaTheme="minorHAnsi" w:hAnsi="Lat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D6E2D"/>
    <w:multiLevelType w:val="hybridMultilevel"/>
    <w:tmpl w:val="1EEE0BA6"/>
    <w:lvl w:ilvl="0" w:tplc="01BCDD36">
      <w:start w:val="21"/>
      <w:numFmt w:val="bullet"/>
      <w:lvlText w:val="·"/>
      <w:lvlJc w:val="left"/>
      <w:pPr>
        <w:ind w:left="948" w:hanging="588"/>
      </w:pPr>
      <w:rPr>
        <w:rFonts w:ascii="Lato Light" w:eastAsia="Times New Roman" w:hAnsi="Lato Ligh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61FC8"/>
    <w:multiLevelType w:val="hybridMultilevel"/>
    <w:tmpl w:val="E822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230CA"/>
    <w:multiLevelType w:val="hybridMultilevel"/>
    <w:tmpl w:val="E536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A2C62"/>
    <w:multiLevelType w:val="hybridMultilevel"/>
    <w:tmpl w:val="07F8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C1302"/>
    <w:multiLevelType w:val="multilevel"/>
    <w:tmpl w:val="E30C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9B497C"/>
    <w:multiLevelType w:val="hybridMultilevel"/>
    <w:tmpl w:val="5B8A2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070F8"/>
    <w:multiLevelType w:val="multilevel"/>
    <w:tmpl w:val="4ABE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4031B0"/>
    <w:multiLevelType w:val="hybridMultilevel"/>
    <w:tmpl w:val="7488F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6634A"/>
    <w:multiLevelType w:val="hybridMultilevel"/>
    <w:tmpl w:val="C86C6714"/>
    <w:lvl w:ilvl="0" w:tplc="CF8CE3F0">
      <w:start w:val="1"/>
      <w:numFmt w:val="bullet"/>
      <w:lvlText w:val="•"/>
      <w:lvlJc w:val="left"/>
      <w:pPr>
        <w:tabs>
          <w:tab w:val="num" w:pos="720"/>
        </w:tabs>
        <w:ind w:left="720" w:hanging="360"/>
      </w:pPr>
      <w:rPr>
        <w:rFonts w:ascii="Arial" w:hAnsi="Arial" w:hint="default"/>
      </w:rPr>
    </w:lvl>
    <w:lvl w:ilvl="1" w:tplc="00366BB0">
      <w:numFmt w:val="bullet"/>
      <w:lvlText w:val="•"/>
      <w:lvlJc w:val="left"/>
      <w:pPr>
        <w:tabs>
          <w:tab w:val="num" w:pos="1440"/>
        </w:tabs>
        <w:ind w:left="1440" w:hanging="360"/>
      </w:pPr>
      <w:rPr>
        <w:rFonts w:ascii="Arial" w:hAnsi="Arial" w:hint="default"/>
      </w:rPr>
    </w:lvl>
    <w:lvl w:ilvl="2" w:tplc="DEC006DE" w:tentative="1">
      <w:start w:val="1"/>
      <w:numFmt w:val="bullet"/>
      <w:lvlText w:val="•"/>
      <w:lvlJc w:val="left"/>
      <w:pPr>
        <w:tabs>
          <w:tab w:val="num" w:pos="2160"/>
        </w:tabs>
        <w:ind w:left="2160" w:hanging="360"/>
      </w:pPr>
      <w:rPr>
        <w:rFonts w:ascii="Arial" w:hAnsi="Arial" w:hint="default"/>
      </w:rPr>
    </w:lvl>
    <w:lvl w:ilvl="3" w:tplc="D52A41D6" w:tentative="1">
      <w:start w:val="1"/>
      <w:numFmt w:val="bullet"/>
      <w:lvlText w:val="•"/>
      <w:lvlJc w:val="left"/>
      <w:pPr>
        <w:tabs>
          <w:tab w:val="num" w:pos="2880"/>
        </w:tabs>
        <w:ind w:left="2880" w:hanging="360"/>
      </w:pPr>
      <w:rPr>
        <w:rFonts w:ascii="Arial" w:hAnsi="Arial" w:hint="default"/>
      </w:rPr>
    </w:lvl>
    <w:lvl w:ilvl="4" w:tplc="05F6FFA0" w:tentative="1">
      <w:start w:val="1"/>
      <w:numFmt w:val="bullet"/>
      <w:lvlText w:val="•"/>
      <w:lvlJc w:val="left"/>
      <w:pPr>
        <w:tabs>
          <w:tab w:val="num" w:pos="3600"/>
        </w:tabs>
        <w:ind w:left="3600" w:hanging="360"/>
      </w:pPr>
      <w:rPr>
        <w:rFonts w:ascii="Arial" w:hAnsi="Arial" w:hint="default"/>
      </w:rPr>
    </w:lvl>
    <w:lvl w:ilvl="5" w:tplc="46E4217E" w:tentative="1">
      <w:start w:val="1"/>
      <w:numFmt w:val="bullet"/>
      <w:lvlText w:val="•"/>
      <w:lvlJc w:val="left"/>
      <w:pPr>
        <w:tabs>
          <w:tab w:val="num" w:pos="4320"/>
        </w:tabs>
        <w:ind w:left="4320" w:hanging="360"/>
      </w:pPr>
      <w:rPr>
        <w:rFonts w:ascii="Arial" w:hAnsi="Arial" w:hint="default"/>
      </w:rPr>
    </w:lvl>
    <w:lvl w:ilvl="6" w:tplc="26E2266C" w:tentative="1">
      <w:start w:val="1"/>
      <w:numFmt w:val="bullet"/>
      <w:lvlText w:val="•"/>
      <w:lvlJc w:val="left"/>
      <w:pPr>
        <w:tabs>
          <w:tab w:val="num" w:pos="5040"/>
        </w:tabs>
        <w:ind w:left="5040" w:hanging="360"/>
      </w:pPr>
      <w:rPr>
        <w:rFonts w:ascii="Arial" w:hAnsi="Arial" w:hint="default"/>
      </w:rPr>
    </w:lvl>
    <w:lvl w:ilvl="7" w:tplc="4920ABAA" w:tentative="1">
      <w:start w:val="1"/>
      <w:numFmt w:val="bullet"/>
      <w:lvlText w:val="•"/>
      <w:lvlJc w:val="left"/>
      <w:pPr>
        <w:tabs>
          <w:tab w:val="num" w:pos="5760"/>
        </w:tabs>
        <w:ind w:left="5760" w:hanging="360"/>
      </w:pPr>
      <w:rPr>
        <w:rFonts w:ascii="Arial" w:hAnsi="Arial" w:hint="default"/>
      </w:rPr>
    </w:lvl>
    <w:lvl w:ilvl="8" w:tplc="36E2C6A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0BE6FEB"/>
    <w:multiLevelType w:val="hybridMultilevel"/>
    <w:tmpl w:val="A4ACD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2141DD"/>
    <w:multiLevelType w:val="hybridMultilevel"/>
    <w:tmpl w:val="F930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356386">
    <w:abstractNumId w:val="2"/>
  </w:num>
  <w:num w:numId="2" w16cid:durableId="880441318">
    <w:abstractNumId w:val="6"/>
  </w:num>
  <w:num w:numId="3" w16cid:durableId="549224346">
    <w:abstractNumId w:val="15"/>
  </w:num>
  <w:num w:numId="4" w16cid:durableId="1560047669">
    <w:abstractNumId w:val="9"/>
  </w:num>
  <w:num w:numId="5" w16cid:durableId="393434572">
    <w:abstractNumId w:val="0"/>
  </w:num>
  <w:num w:numId="6" w16cid:durableId="755130633">
    <w:abstractNumId w:val="8"/>
  </w:num>
  <w:num w:numId="7" w16cid:durableId="824787323">
    <w:abstractNumId w:val="20"/>
  </w:num>
  <w:num w:numId="8" w16cid:durableId="253326142">
    <w:abstractNumId w:val="11"/>
  </w:num>
  <w:num w:numId="9" w16cid:durableId="960378616">
    <w:abstractNumId w:val="18"/>
  </w:num>
  <w:num w:numId="10" w16cid:durableId="1838567836">
    <w:abstractNumId w:val="1"/>
  </w:num>
  <w:num w:numId="11" w16cid:durableId="1588999218">
    <w:abstractNumId w:val="22"/>
  </w:num>
  <w:num w:numId="12" w16cid:durableId="383255070">
    <w:abstractNumId w:val="23"/>
  </w:num>
  <w:num w:numId="13" w16cid:durableId="1365055348">
    <w:abstractNumId w:val="24"/>
  </w:num>
  <w:num w:numId="14" w16cid:durableId="1346709893">
    <w:abstractNumId w:val="7"/>
  </w:num>
  <w:num w:numId="15" w16cid:durableId="330254591">
    <w:abstractNumId w:val="21"/>
  </w:num>
  <w:num w:numId="16" w16cid:durableId="387655192">
    <w:abstractNumId w:val="17"/>
  </w:num>
  <w:num w:numId="17" w16cid:durableId="335815200">
    <w:abstractNumId w:val="19"/>
  </w:num>
  <w:num w:numId="18" w16cid:durableId="278143823">
    <w:abstractNumId w:val="12"/>
  </w:num>
  <w:num w:numId="19" w16cid:durableId="84158097">
    <w:abstractNumId w:val="13"/>
  </w:num>
  <w:num w:numId="20" w16cid:durableId="1970820219">
    <w:abstractNumId w:val="4"/>
  </w:num>
  <w:num w:numId="21" w16cid:durableId="1453555177">
    <w:abstractNumId w:val="3"/>
  </w:num>
  <w:num w:numId="22" w16cid:durableId="1509443282">
    <w:abstractNumId w:val="5"/>
  </w:num>
  <w:num w:numId="23" w16cid:durableId="329986107">
    <w:abstractNumId w:val="14"/>
  </w:num>
  <w:num w:numId="24" w16cid:durableId="1529217972">
    <w:abstractNumId w:val="16"/>
  </w:num>
  <w:num w:numId="25" w16cid:durableId="9953034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26"/>
    <w:rsid w:val="000138C7"/>
    <w:rsid w:val="00015B19"/>
    <w:rsid w:val="0009334A"/>
    <w:rsid w:val="000C2A04"/>
    <w:rsid w:val="000C7B93"/>
    <w:rsid w:val="000E7266"/>
    <w:rsid w:val="000F74C6"/>
    <w:rsid w:val="00103721"/>
    <w:rsid w:val="001226AB"/>
    <w:rsid w:val="00125A3A"/>
    <w:rsid w:val="00153922"/>
    <w:rsid w:val="00160F6C"/>
    <w:rsid w:val="00187F36"/>
    <w:rsid w:val="001A7FED"/>
    <w:rsid w:val="001D1E4F"/>
    <w:rsid w:val="001F6430"/>
    <w:rsid w:val="00211390"/>
    <w:rsid w:val="00282389"/>
    <w:rsid w:val="002A44B7"/>
    <w:rsid w:val="002A7F63"/>
    <w:rsid w:val="002C0608"/>
    <w:rsid w:val="002C718C"/>
    <w:rsid w:val="00312683"/>
    <w:rsid w:val="003316E2"/>
    <w:rsid w:val="00336458"/>
    <w:rsid w:val="00342333"/>
    <w:rsid w:val="00351B2E"/>
    <w:rsid w:val="0036680B"/>
    <w:rsid w:val="00381A7F"/>
    <w:rsid w:val="003A07AC"/>
    <w:rsid w:val="003F3D1B"/>
    <w:rsid w:val="00424639"/>
    <w:rsid w:val="00427B65"/>
    <w:rsid w:val="00436370"/>
    <w:rsid w:val="004408D6"/>
    <w:rsid w:val="00442869"/>
    <w:rsid w:val="00451E51"/>
    <w:rsid w:val="00474B78"/>
    <w:rsid w:val="00474DF0"/>
    <w:rsid w:val="00481F4A"/>
    <w:rsid w:val="004918E9"/>
    <w:rsid w:val="004C2534"/>
    <w:rsid w:val="00510F3B"/>
    <w:rsid w:val="00514600"/>
    <w:rsid w:val="00524D1F"/>
    <w:rsid w:val="00555851"/>
    <w:rsid w:val="0059003C"/>
    <w:rsid w:val="00593107"/>
    <w:rsid w:val="005B7BB8"/>
    <w:rsid w:val="005D2326"/>
    <w:rsid w:val="005D6829"/>
    <w:rsid w:val="005F7F93"/>
    <w:rsid w:val="00620284"/>
    <w:rsid w:val="00620DBC"/>
    <w:rsid w:val="00641403"/>
    <w:rsid w:val="00642157"/>
    <w:rsid w:val="006503DD"/>
    <w:rsid w:val="00673986"/>
    <w:rsid w:val="006859FA"/>
    <w:rsid w:val="006D7348"/>
    <w:rsid w:val="006F5A6E"/>
    <w:rsid w:val="00722814"/>
    <w:rsid w:val="00731D3B"/>
    <w:rsid w:val="007576DA"/>
    <w:rsid w:val="0076148A"/>
    <w:rsid w:val="00791432"/>
    <w:rsid w:val="007A693A"/>
    <w:rsid w:val="007D50A9"/>
    <w:rsid w:val="007E1E1E"/>
    <w:rsid w:val="007E2584"/>
    <w:rsid w:val="007F1FB6"/>
    <w:rsid w:val="00830C2F"/>
    <w:rsid w:val="00844950"/>
    <w:rsid w:val="00880762"/>
    <w:rsid w:val="00881CE0"/>
    <w:rsid w:val="00887E5F"/>
    <w:rsid w:val="008D0343"/>
    <w:rsid w:val="008E2144"/>
    <w:rsid w:val="00966DC6"/>
    <w:rsid w:val="009830AC"/>
    <w:rsid w:val="00983CB6"/>
    <w:rsid w:val="0098688C"/>
    <w:rsid w:val="009F260C"/>
    <w:rsid w:val="00A34F57"/>
    <w:rsid w:val="00A43337"/>
    <w:rsid w:val="00A625D0"/>
    <w:rsid w:val="00AB7AF8"/>
    <w:rsid w:val="00AD5599"/>
    <w:rsid w:val="00AD6DCB"/>
    <w:rsid w:val="00AF1ED0"/>
    <w:rsid w:val="00AF3401"/>
    <w:rsid w:val="00B0562E"/>
    <w:rsid w:val="00B404AA"/>
    <w:rsid w:val="00B45498"/>
    <w:rsid w:val="00B511BC"/>
    <w:rsid w:val="00B51E12"/>
    <w:rsid w:val="00B87EA4"/>
    <w:rsid w:val="00BA37CD"/>
    <w:rsid w:val="00BC2AFB"/>
    <w:rsid w:val="00C059DE"/>
    <w:rsid w:val="00C15E13"/>
    <w:rsid w:val="00C45B26"/>
    <w:rsid w:val="00C52DE7"/>
    <w:rsid w:val="00C72E4F"/>
    <w:rsid w:val="00CD0FB4"/>
    <w:rsid w:val="00CE1579"/>
    <w:rsid w:val="00D17172"/>
    <w:rsid w:val="00D41DB7"/>
    <w:rsid w:val="00D54F90"/>
    <w:rsid w:val="00D70EA0"/>
    <w:rsid w:val="00DC2F05"/>
    <w:rsid w:val="00DC4C16"/>
    <w:rsid w:val="00DD266E"/>
    <w:rsid w:val="00DE05EE"/>
    <w:rsid w:val="00DE4743"/>
    <w:rsid w:val="00E1169B"/>
    <w:rsid w:val="00E463D4"/>
    <w:rsid w:val="00E55B15"/>
    <w:rsid w:val="00E6504F"/>
    <w:rsid w:val="00EA6631"/>
    <w:rsid w:val="00EC7BA4"/>
    <w:rsid w:val="00ED031D"/>
    <w:rsid w:val="00F03C53"/>
    <w:rsid w:val="00F12481"/>
    <w:rsid w:val="00F259C7"/>
    <w:rsid w:val="00F327A9"/>
    <w:rsid w:val="00F60126"/>
    <w:rsid w:val="00F71275"/>
    <w:rsid w:val="00FB2151"/>
    <w:rsid w:val="00FC3A58"/>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8911"/>
  <w15:chartTrackingRefBased/>
  <w15:docId w15:val="{C57F0B19-9BF1-4493-B728-F1C1E047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C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126"/>
    <w:rPr>
      <w:color w:val="0563C1" w:themeColor="hyperlink"/>
      <w:u w:val="single"/>
    </w:rPr>
  </w:style>
  <w:style w:type="character" w:styleId="UnresolvedMention">
    <w:name w:val="Unresolved Mention"/>
    <w:basedOn w:val="DefaultParagraphFont"/>
    <w:uiPriority w:val="99"/>
    <w:semiHidden/>
    <w:unhideWhenUsed/>
    <w:rsid w:val="00F60126"/>
    <w:rPr>
      <w:color w:val="605E5C"/>
      <w:shd w:val="clear" w:color="auto" w:fill="E1DFDD"/>
    </w:rPr>
  </w:style>
  <w:style w:type="paragraph" w:styleId="ListParagraph">
    <w:name w:val="List Paragraph"/>
    <w:basedOn w:val="Normal"/>
    <w:uiPriority w:val="34"/>
    <w:qFormat/>
    <w:rsid w:val="00F60126"/>
    <w:pPr>
      <w:ind w:left="720"/>
      <w:contextualSpacing/>
    </w:pPr>
  </w:style>
  <w:style w:type="character" w:styleId="FollowedHyperlink">
    <w:name w:val="FollowedHyperlink"/>
    <w:basedOn w:val="DefaultParagraphFont"/>
    <w:uiPriority w:val="99"/>
    <w:semiHidden/>
    <w:unhideWhenUsed/>
    <w:rsid w:val="004428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22307">
      <w:bodyDiv w:val="1"/>
      <w:marLeft w:val="0"/>
      <w:marRight w:val="0"/>
      <w:marTop w:val="0"/>
      <w:marBottom w:val="0"/>
      <w:divBdr>
        <w:top w:val="none" w:sz="0" w:space="0" w:color="auto"/>
        <w:left w:val="none" w:sz="0" w:space="0" w:color="auto"/>
        <w:bottom w:val="none" w:sz="0" w:space="0" w:color="auto"/>
        <w:right w:val="none" w:sz="0" w:space="0" w:color="auto"/>
      </w:divBdr>
    </w:div>
    <w:div w:id="233323970">
      <w:bodyDiv w:val="1"/>
      <w:marLeft w:val="0"/>
      <w:marRight w:val="0"/>
      <w:marTop w:val="0"/>
      <w:marBottom w:val="0"/>
      <w:divBdr>
        <w:top w:val="none" w:sz="0" w:space="0" w:color="auto"/>
        <w:left w:val="none" w:sz="0" w:space="0" w:color="auto"/>
        <w:bottom w:val="none" w:sz="0" w:space="0" w:color="auto"/>
        <w:right w:val="none" w:sz="0" w:space="0" w:color="auto"/>
      </w:divBdr>
    </w:div>
    <w:div w:id="408623861">
      <w:bodyDiv w:val="1"/>
      <w:marLeft w:val="0"/>
      <w:marRight w:val="0"/>
      <w:marTop w:val="0"/>
      <w:marBottom w:val="0"/>
      <w:divBdr>
        <w:top w:val="none" w:sz="0" w:space="0" w:color="auto"/>
        <w:left w:val="none" w:sz="0" w:space="0" w:color="auto"/>
        <w:bottom w:val="none" w:sz="0" w:space="0" w:color="auto"/>
        <w:right w:val="none" w:sz="0" w:space="0" w:color="auto"/>
      </w:divBdr>
    </w:div>
    <w:div w:id="472793287">
      <w:bodyDiv w:val="1"/>
      <w:marLeft w:val="0"/>
      <w:marRight w:val="0"/>
      <w:marTop w:val="0"/>
      <w:marBottom w:val="0"/>
      <w:divBdr>
        <w:top w:val="none" w:sz="0" w:space="0" w:color="auto"/>
        <w:left w:val="none" w:sz="0" w:space="0" w:color="auto"/>
        <w:bottom w:val="none" w:sz="0" w:space="0" w:color="auto"/>
        <w:right w:val="none" w:sz="0" w:space="0" w:color="auto"/>
      </w:divBdr>
    </w:div>
    <w:div w:id="610354133">
      <w:bodyDiv w:val="1"/>
      <w:marLeft w:val="0"/>
      <w:marRight w:val="0"/>
      <w:marTop w:val="0"/>
      <w:marBottom w:val="0"/>
      <w:divBdr>
        <w:top w:val="none" w:sz="0" w:space="0" w:color="auto"/>
        <w:left w:val="none" w:sz="0" w:space="0" w:color="auto"/>
        <w:bottom w:val="none" w:sz="0" w:space="0" w:color="auto"/>
        <w:right w:val="none" w:sz="0" w:space="0" w:color="auto"/>
      </w:divBdr>
    </w:div>
    <w:div w:id="642082827">
      <w:bodyDiv w:val="1"/>
      <w:marLeft w:val="0"/>
      <w:marRight w:val="0"/>
      <w:marTop w:val="0"/>
      <w:marBottom w:val="0"/>
      <w:divBdr>
        <w:top w:val="none" w:sz="0" w:space="0" w:color="auto"/>
        <w:left w:val="none" w:sz="0" w:space="0" w:color="auto"/>
        <w:bottom w:val="none" w:sz="0" w:space="0" w:color="auto"/>
        <w:right w:val="none" w:sz="0" w:space="0" w:color="auto"/>
      </w:divBdr>
      <w:divsChild>
        <w:div w:id="1176850287">
          <w:marLeft w:val="360"/>
          <w:marRight w:val="0"/>
          <w:marTop w:val="200"/>
          <w:marBottom w:val="0"/>
          <w:divBdr>
            <w:top w:val="none" w:sz="0" w:space="0" w:color="auto"/>
            <w:left w:val="none" w:sz="0" w:space="0" w:color="auto"/>
            <w:bottom w:val="none" w:sz="0" w:space="0" w:color="auto"/>
            <w:right w:val="none" w:sz="0" w:space="0" w:color="auto"/>
          </w:divBdr>
        </w:div>
        <w:div w:id="1356078034">
          <w:marLeft w:val="360"/>
          <w:marRight w:val="0"/>
          <w:marTop w:val="200"/>
          <w:marBottom w:val="0"/>
          <w:divBdr>
            <w:top w:val="none" w:sz="0" w:space="0" w:color="auto"/>
            <w:left w:val="none" w:sz="0" w:space="0" w:color="auto"/>
            <w:bottom w:val="none" w:sz="0" w:space="0" w:color="auto"/>
            <w:right w:val="none" w:sz="0" w:space="0" w:color="auto"/>
          </w:divBdr>
        </w:div>
        <w:div w:id="392965806">
          <w:marLeft w:val="360"/>
          <w:marRight w:val="0"/>
          <w:marTop w:val="200"/>
          <w:marBottom w:val="0"/>
          <w:divBdr>
            <w:top w:val="none" w:sz="0" w:space="0" w:color="auto"/>
            <w:left w:val="none" w:sz="0" w:space="0" w:color="auto"/>
            <w:bottom w:val="none" w:sz="0" w:space="0" w:color="auto"/>
            <w:right w:val="none" w:sz="0" w:space="0" w:color="auto"/>
          </w:divBdr>
        </w:div>
        <w:div w:id="950093309">
          <w:marLeft w:val="1080"/>
          <w:marRight w:val="0"/>
          <w:marTop w:val="100"/>
          <w:marBottom w:val="0"/>
          <w:divBdr>
            <w:top w:val="none" w:sz="0" w:space="0" w:color="auto"/>
            <w:left w:val="none" w:sz="0" w:space="0" w:color="auto"/>
            <w:bottom w:val="none" w:sz="0" w:space="0" w:color="auto"/>
            <w:right w:val="none" w:sz="0" w:space="0" w:color="auto"/>
          </w:divBdr>
        </w:div>
        <w:div w:id="1375933696">
          <w:marLeft w:val="1080"/>
          <w:marRight w:val="0"/>
          <w:marTop w:val="100"/>
          <w:marBottom w:val="0"/>
          <w:divBdr>
            <w:top w:val="none" w:sz="0" w:space="0" w:color="auto"/>
            <w:left w:val="none" w:sz="0" w:space="0" w:color="auto"/>
            <w:bottom w:val="none" w:sz="0" w:space="0" w:color="auto"/>
            <w:right w:val="none" w:sz="0" w:space="0" w:color="auto"/>
          </w:divBdr>
        </w:div>
        <w:div w:id="1168712136">
          <w:marLeft w:val="1080"/>
          <w:marRight w:val="0"/>
          <w:marTop w:val="100"/>
          <w:marBottom w:val="0"/>
          <w:divBdr>
            <w:top w:val="none" w:sz="0" w:space="0" w:color="auto"/>
            <w:left w:val="none" w:sz="0" w:space="0" w:color="auto"/>
            <w:bottom w:val="none" w:sz="0" w:space="0" w:color="auto"/>
            <w:right w:val="none" w:sz="0" w:space="0" w:color="auto"/>
          </w:divBdr>
        </w:div>
        <w:div w:id="1940526479">
          <w:marLeft w:val="1080"/>
          <w:marRight w:val="0"/>
          <w:marTop w:val="100"/>
          <w:marBottom w:val="0"/>
          <w:divBdr>
            <w:top w:val="none" w:sz="0" w:space="0" w:color="auto"/>
            <w:left w:val="none" w:sz="0" w:space="0" w:color="auto"/>
            <w:bottom w:val="none" w:sz="0" w:space="0" w:color="auto"/>
            <w:right w:val="none" w:sz="0" w:space="0" w:color="auto"/>
          </w:divBdr>
        </w:div>
      </w:divsChild>
    </w:div>
    <w:div w:id="649751147">
      <w:bodyDiv w:val="1"/>
      <w:marLeft w:val="0"/>
      <w:marRight w:val="0"/>
      <w:marTop w:val="0"/>
      <w:marBottom w:val="0"/>
      <w:divBdr>
        <w:top w:val="none" w:sz="0" w:space="0" w:color="auto"/>
        <w:left w:val="none" w:sz="0" w:space="0" w:color="auto"/>
        <w:bottom w:val="none" w:sz="0" w:space="0" w:color="auto"/>
        <w:right w:val="none" w:sz="0" w:space="0" w:color="auto"/>
      </w:divBdr>
    </w:div>
    <w:div w:id="781455364">
      <w:bodyDiv w:val="1"/>
      <w:marLeft w:val="0"/>
      <w:marRight w:val="0"/>
      <w:marTop w:val="0"/>
      <w:marBottom w:val="0"/>
      <w:divBdr>
        <w:top w:val="none" w:sz="0" w:space="0" w:color="auto"/>
        <w:left w:val="none" w:sz="0" w:space="0" w:color="auto"/>
        <w:bottom w:val="none" w:sz="0" w:space="0" w:color="auto"/>
        <w:right w:val="none" w:sz="0" w:space="0" w:color="auto"/>
      </w:divBdr>
      <w:divsChild>
        <w:div w:id="1463765159">
          <w:marLeft w:val="0"/>
          <w:marRight w:val="0"/>
          <w:marTop w:val="0"/>
          <w:marBottom w:val="0"/>
          <w:divBdr>
            <w:top w:val="none" w:sz="0" w:space="0" w:color="auto"/>
            <w:left w:val="none" w:sz="0" w:space="0" w:color="auto"/>
            <w:bottom w:val="none" w:sz="0" w:space="0" w:color="auto"/>
            <w:right w:val="none" w:sz="0" w:space="0" w:color="auto"/>
          </w:divBdr>
        </w:div>
      </w:divsChild>
    </w:div>
    <w:div w:id="984043756">
      <w:bodyDiv w:val="1"/>
      <w:marLeft w:val="0"/>
      <w:marRight w:val="0"/>
      <w:marTop w:val="0"/>
      <w:marBottom w:val="0"/>
      <w:divBdr>
        <w:top w:val="none" w:sz="0" w:space="0" w:color="auto"/>
        <w:left w:val="none" w:sz="0" w:space="0" w:color="auto"/>
        <w:bottom w:val="none" w:sz="0" w:space="0" w:color="auto"/>
        <w:right w:val="none" w:sz="0" w:space="0" w:color="auto"/>
      </w:divBdr>
      <w:divsChild>
        <w:div w:id="2058238896">
          <w:marLeft w:val="0"/>
          <w:marRight w:val="0"/>
          <w:marTop w:val="225"/>
          <w:marBottom w:val="0"/>
          <w:divBdr>
            <w:top w:val="none" w:sz="0" w:space="0" w:color="auto"/>
            <w:left w:val="none" w:sz="0" w:space="0" w:color="auto"/>
            <w:bottom w:val="none" w:sz="0" w:space="0" w:color="auto"/>
            <w:right w:val="none" w:sz="0" w:space="0" w:color="auto"/>
          </w:divBdr>
        </w:div>
        <w:div w:id="1984918990">
          <w:marLeft w:val="0"/>
          <w:marRight w:val="0"/>
          <w:marTop w:val="225"/>
          <w:marBottom w:val="0"/>
          <w:divBdr>
            <w:top w:val="none" w:sz="0" w:space="0" w:color="auto"/>
            <w:left w:val="none" w:sz="0" w:space="0" w:color="auto"/>
            <w:bottom w:val="none" w:sz="0" w:space="0" w:color="auto"/>
            <w:right w:val="none" w:sz="0" w:space="0" w:color="auto"/>
          </w:divBdr>
        </w:div>
        <w:div w:id="2133399716">
          <w:marLeft w:val="0"/>
          <w:marRight w:val="0"/>
          <w:marTop w:val="225"/>
          <w:marBottom w:val="0"/>
          <w:divBdr>
            <w:top w:val="none" w:sz="0" w:space="0" w:color="auto"/>
            <w:left w:val="none" w:sz="0" w:space="0" w:color="auto"/>
            <w:bottom w:val="none" w:sz="0" w:space="0" w:color="auto"/>
            <w:right w:val="none" w:sz="0" w:space="0" w:color="auto"/>
          </w:divBdr>
        </w:div>
        <w:div w:id="1373307031">
          <w:marLeft w:val="0"/>
          <w:marRight w:val="0"/>
          <w:marTop w:val="225"/>
          <w:marBottom w:val="0"/>
          <w:divBdr>
            <w:top w:val="none" w:sz="0" w:space="0" w:color="auto"/>
            <w:left w:val="none" w:sz="0" w:space="0" w:color="auto"/>
            <w:bottom w:val="none" w:sz="0" w:space="0" w:color="auto"/>
            <w:right w:val="none" w:sz="0" w:space="0" w:color="auto"/>
          </w:divBdr>
        </w:div>
        <w:div w:id="491676675">
          <w:marLeft w:val="0"/>
          <w:marRight w:val="0"/>
          <w:marTop w:val="225"/>
          <w:marBottom w:val="0"/>
          <w:divBdr>
            <w:top w:val="none" w:sz="0" w:space="0" w:color="auto"/>
            <w:left w:val="none" w:sz="0" w:space="0" w:color="auto"/>
            <w:bottom w:val="none" w:sz="0" w:space="0" w:color="auto"/>
            <w:right w:val="none" w:sz="0" w:space="0" w:color="auto"/>
          </w:divBdr>
        </w:div>
        <w:div w:id="2037194582">
          <w:marLeft w:val="0"/>
          <w:marRight w:val="0"/>
          <w:marTop w:val="225"/>
          <w:marBottom w:val="0"/>
          <w:divBdr>
            <w:top w:val="none" w:sz="0" w:space="0" w:color="auto"/>
            <w:left w:val="none" w:sz="0" w:space="0" w:color="auto"/>
            <w:bottom w:val="none" w:sz="0" w:space="0" w:color="auto"/>
            <w:right w:val="none" w:sz="0" w:space="0" w:color="auto"/>
          </w:divBdr>
        </w:div>
        <w:div w:id="884368402">
          <w:marLeft w:val="0"/>
          <w:marRight w:val="0"/>
          <w:marTop w:val="225"/>
          <w:marBottom w:val="0"/>
          <w:divBdr>
            <w:top w:val="none" w:sz="0" w:space="0" w:color="auto"/>
            <w:left w:val="none" w:sz="0" w:space="0" w:color="auto"/>
            <w:bottom w:val="none" w:sz="0" w:space="0" w:color="auto"/>
            <w:right w:val="none" w:sz="0" w:space="0" w:color="auto"/>
          </w:divBdr>
        </w:div>
      </w:divsChild>
    </w:div>
    <w:div w:id="1274824773">
      <w:bodyDiv w:val="1"/>
      <w:marLeft w:val="0"/>
      <w:marRight w:val="0"/>
      <w:marTop w:val="0"/>
      <w:marBottom w:val="0"/>
      <w:divBdr>
        <w:top w:val="none" w:sz="0" w:space="0" w:color="auto"/>
        <w:left w:val="none" w:sz="0" w:space="0" w:color="auto"/>
        <w:bottom w:val="none" w:sz="0" w:space="0" w:color="auto"/>
        <w:right w:val="none" w:sz="0" w:space="0" w:color="auto"/>
      </w:divBdr>
    </w:div>
    <w:div w:id="1411584338">
      <w:bodyDiv w:val="1"/>
      <w:marLeft w:val="0"/>
      <w:marRight w:val="0"/>
      <w:marTop w:val="0"/>
      <w:marBottom w:val="0"/>
      <w:divBdr>
        <w:top w:val="none" w:sz="0" w:space="0" w:color="auto"/>
        <w:left w:val="none" w:sz="0" w:space="0" w:color="auto"/>
        <w:bottom w:val="none" w:sz="0" w:space="0" w:color="auto"/>
        <w:right w:val="none" w:sz="0" w:space="0" w:color="auto"/>
      </w:divBdr>
    </w:div>
    <w:div w:id="1885093171">
      <w:bodyDiv w:val="1"/>
      <w:marLeft w:val="0"/>
      <w:marRight w:val="0"/>
      <w:marTop w:val="0"/>
      <w:marBottom w:val="0"/>
      <w:divBdr>
        <w:top w:val="none" w:sz="0" w:space="0" w:color="auto"/>
        <w:left w:val="none" w:sz="0" w:space="0" w:color="auto"/>
        <w:bottom w:val="none" w:sz="0" w:space="0" w:color="auto"/>
        <w:right w:val="none" w:sz="0" w:space="0" w:color="auto"/>
      </w:divBdr>
    </w:div>
    <w:div w:id="2063476841">
      <w:bodyDiv w:val="1"/>
      <w:marLeft w:val="0"/>
      <w:marRight w:val="0"/>
      <w:marTop w:val="0"/>
      <w:marBottom w:val="0"/>
      <w:divBdr>
        <w:top w:val="none" w:sz="0" w:space="0" w:color="auto"/>
        <w:left w:val="none" w:sz="0" w:space="0" w:color="auto"/>
        <w:bottom w:val="none" w:sz="0" w:space="0" w:color="auto"/>
        <w:right w:val="none" w:sz="0" w:space="0" w:color="auto"/>
      </w:divBdr>
    </w:div>
    <w:div w:id="213078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cciio/programs-and-initiatives/other-insurance-protections/gag-clause-prohibition-compliance" TargetMode="External"/><Relationship Id="rId13" Type="http://schemas.openxmlformats.org/officeDocument/2006/relationships/hyperlink" Target="https://www.irs.gov/pub/irs-pdf/p5258.pdf" TargetMode="External"/><Relationship Id="rId18" Type="http://schemas.openxmlformats.org/officeDocument/2006/relationships/hyperlink" Target="https://www.hhs.gov/sites/default/files/model-attestation.pdf" TargetMode="External"/><Relationship Id="rId3" Type="http://schemas.openxmlformats.org/officeDocument/2006/relationships/settings" Target="settings.xml"/><Relationship Id="rId7" Type="http://schemas.openxmlformats.org/officeDocument/2006/relationships/hyperlink" Target="https://www.dol.gov/sites/dolgov/files/ebsa/laws-and-regulations/laws/no-surprises-act/gag-clause-prohibition-compliance-attestation-annual-submission-instructions-2024.pdf" TargetMode="External"/><Relationship Id="rId12" Type="http://schemas.openxmlformats.org/officeDocument/2006/relationships/hyperlink" Target="https://www.irs.gov/pub/irs-pdf/p5165.pdf" TargetMode="External"/><Relationship Id="rId17" Type="http://schemas.openxmlformats.org/officeDocument/2006/relationships/hyperlink" Target="https://www.irs.gov/pub/irs-drop/n-24-75.pdf" TargetMode="External"/><Relationship Id="rId2" Type="http://schemas.openxmlformats.org/officeDocument/2006/relationships/styles" Target="styles.xml"/><Relationship Id="rId16" Type="http://schemas.openxmlformats.org/officeDocument/2006/relationships/hyperlink" Target="https://www.irs.gov/pub/irs-drop/n-24-71.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ios.cms.gov/HIOS-GCPCA-UI" TargetMode="External"/><Relationship Id="rId11" Type="http://schemas.openxmlformats.org/officeDocument/2006/relationships/hyperlink" Target="https://www.irs.gov/pub/irs-prior/i109495b--2024.pdf" TargetMode="External"/><Relationship Id="rId5" Type="http://schemas.openxmlformats.org/officeDocument/2006/relationships/hyperlink" Target="https://www.cms.gov/files/document/aca-part-57.pdf" TargetMode="External"/><Relationship Id="rId15" Type="http://schemas.openxmlformats.org/officeDocument/2006/relationships/hyperlink" Target="https://www.irs.gov/forms-pubs/about-form-8809" TargetMode="External"/><Relationship Id="rId10" Type="http://schemas.openxmlformats.org/officeDocument/2006/relationships/hyperlink" Target="https://www.irs.gov/pub/irs-prior/i109495c--2024.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avanan.click/v2/r01/___https:/www.govinfo.gov/content/pkg/FR-2024-04-03/pdf/2024-06551.pdf___.YXAzOmN0Zy1oYXVzbWFubjphOm86NWI0NGIwMTU3NDI2OGMwNzMxN2FjNjIyZDZiODA4MDk6NzphZDQ4OjIzMWIyMGFlMzk3MjhkMDRmODllZmE3MmJiN2ViODJhN2YyNTcwZGQwYTgzMzExNjkzYmRiZDIzYWMwMzlmMzI6aDpUOk4" TargetMode="External"/><Relationship Id="rId14" Type="http://schemas.openxmlformats.org/officeDocument/2006/relationships/hyperlink" Target="https://www.irs.gov/pub/irs-pdf/p53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2918</TotalTime>
  <Pages>6</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Borders</dc:creator>
  <cp:keywords/>
  <dc:description/>
  <cp:lastModifiedBy>Sarah Borders</cp:lastModifiedBy>
  <cp:revision>12</cp:revision>
  <dcterms:created xsi:type="dcterms:W3CDTF">2024-10-28T12:55:00Z</dcterms:created>
  <dcterms:modified xsi:type="dcterms:W3CDTF">2024-10-31T16:41:00Z</dcterms:modified>
</cp:coreProperties>
</file>